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25-TA-1470: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2018. gada 21. augusta noteikumos Nr. 531 "Noteikumi par neatkarīgu ekspertu kompetences novērtēšanu un profesionālās darbības uzraudzību ēku energoefektivitātes jomā"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uz anotācijas 1.3. sadaļas 10. punktu, lūdzam precizēt maksas pakalpojumu veidojošo izcenojumu aprēķinus, lai tie atbilstu Ministru kabineta 2011. gada 3. maija noteikumu Nr. 333 "Kārtība, kādā plānojami un uzskaitāmi ieņēmumi no maksas pakalpojumiem un ar šo pakalpojumu sniegšanu saistītie izdevumi, kā arī maksas pakalpojumu izcenojumu noteikšanas metodika un izcenojumu apstiprināšanas kārtība" prasībām. Lūdzam anotāciju papildināt ar detalizētu maksas pakalpojumu izmaksu sadalījumu pa budžeta ekonomiskās klasifikācijas kodiem un iekļaut pilnu izmaksu aprēķina tabulu gan par kompetences novērtēšanas maksu (250 </w:t>
            </w:r>
            <w:r w:rsidR="00000000" w:rsidRPr="00000000" w:rsidDel="00000000">
              <w:rPr>
                <w:i w:val="1"/>
                <w:rtl w:val="0"/>
              </w:rPr>
              <w:t xml:space="preserve">euro</w:t>
            </w:r>
            <w:r w:rsidR="00000000" w:rsidRPr="00000000" w:rsidDel="00000000">
              <w:rPr>
                <w:rtl w:val="0"/>
              </w:rPr>
              <w:t xml:space="preserve">), gan par profesionālās darbības ikgadējo uzraudzības maksu (345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anotācijas pie “Risinājuma apraksta” minēts, ka maksa par ikgadējo uzraudzību tiks paaugstināta “no 216,62 eiro uz 350 eiro”, taču turpmāk anotācijā tiek norādīta summa 345</w:t>
            </w:r>
            <w:r w:rsidR="00000000" w:rsidRPr="00000000" w:rsidDel="00000000">
              <w:rPr>
                <w:i w:val="1"/>
                <w:rtl w:val="0"/>
              </w:rPr>
              <w:t xml:space="preserve"> euro </w:t>
            </w:r>
            <w:r w:rsidR="00000000" w:rsidRPr="00000000" w:rsidDel="00000000">
              <w:rPr>
                <w:rtl w:val="0"/>
              </w:rPr>
              <w:t xml:space="preserve">(261 </w:t>
            </w:r>
            <w:r w:rsidR="00000000" w:rsidRPr="00000000" w:rsidDel="00000000">
              <w:rPr>
                <w:i w:val="1"/>
                <w:rtl w:val="0"/>
              </w:rPr>
              <w:t xml:space="preserve">euro t</w:t>
            </w:r>
            <w:r w:rsidR="00000000" w:rsidRPr="00000000" w:rsidDel="00000000">
              <w:rPr>
                <w:rtl w:val="0"/>
              </w:rPr>
              <w:t xml:space="preserve">iešās izmaksas + 84</w:t>
            </w:r>
            <w:r w:rsidR="00000000" w:rsidRPr="00000000" w:rsidDel="00000000">
              <w:rPr>
                <w:i w:val="1"/>
                <w:rtl w:val="0"/>
              </w:rPr>
              <w:t xml:space="preserve"> euro</w:t>
            </w:r>
            <w:r w:rsidR="00000000" w:rsidRPr="00000000" w:rsidDel="00000000">
              <w:rPr>
                <w:rtl w:val="0"/>
              </w:rPr>
              <w:t xml:space="preserve"> netiešās izmaksas). Lūdzam atspoguļot, kāda pakalpojuma daļa veido 350 </w:t>
            </w:r>
            <w:r w:rsidR="00000000" w:rsidRPr="00000000" w:rsidDel="00000000">
              <w:rPr>
                <w:i w:val="1"/>
                <w:rtl w:val="0"/>
              </w:rPr>
              <w:t xml:space="preserve">euro</w:t>
            </w:r>
            <w:r w:rsidR="00000000" w:rsidRPr="00000000" w:rsidDel="00000000">
              <w:rPr>
                <w:rtl w:val="0"/>
              </w:rPr>
              <w:t xml:space="preserve"> un kā šī summa ir aprēķināta.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Rita Dreiškena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anotācijā vienotu valūtas apzīmējuma lietojumu, izvēloties vienu formu - “</w:t>
            </w:r>
            <w:r w:rsidR="00000000" w:rsidRPr="00000000" w:rsidDel="00000000">
              <w:rPr>
                <w:i w:val="1"/>
                <w:rtl w:val="0"/>
              </w:rPr>
              <w:t xml:space="preserve">eiro</w:t>
            </w:r>
            <w:r w:rsidR="00000000" w:rsidRPr="00000000" w:rsidDel="00000000">
              <w:rPr>
                <w:rtl w:val="0"/>
              </w:rPr>
              <w:t xml:space="preserve">” vai “</w:t>
            </w:r>
            <w:r w:rsidR="00000000" w:rsidRPr="00000000" w:rsidDel="00000000">
              <w:rPr>
                <w:i w:val="1"/>
                <w:rtl w:val="0"/>
              </w:rPr>
              <w:t xml:space="preserve">euro</w:t>
            </w:r>
            <w:r w:rsidR="00000000" w:rsidRPr="00000000" w:rsidDel="00000000">
              <w:rPr>
                <w:rtl w:val="0"/>
              </w:rPr>
              <w:t xml:space="preserve">”, to konsekventi piemērojot visā dokumentā.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Rita Dreiškena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anotācijas 1.2.sadaļā norādīto, ka noteikumi stāsies spēkā 2026.gada 1.janvārī, vēršam uzmanību, ka pašā noteikumu projektā tas nav noteikts. Līdz ar to lūdzam salāgot norādīto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Rita Dreiškena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Ministru kabineta 2021. gada 7. septembra noteikumu Nr. 617 "Tiesību akta projekta sākotnējās ietekmes izvērtēšanas kārtība" 15.punktu visiem projektiem aizpilda šo noteikumu 14.1., 14.2., 14.6. un 14.7. (projekta izpildes nodrošināšana un tās ietekme uz institūcijām) apakšpunktā minēto anotācijas sadaļu. Tādējādi lūdzam aizpildīt anotācijas 7.sadaļu.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Rita Dreiškena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25-TA-1470</w:t>
    </w:r>
    <w:r>
      <w:br/>
    </w:r>
    <w:r w:rsidR="00000000" w:rsidRPr="00000000" w:rsidDel="00000000">
      <w:rPr>
        <w:rtl w:val="0"/>
      </w:rPr>
      <w:t xml:space="preserve">Izdrukāts 24.10.2025. 14.58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25-TA-1470</w:t>
    </w:r>
    <w:r>
      <w:br/>
    </w:r>
    <w:r w:rsidR="00000000" w:rsidRPr="00000000" w:rsidDel="00000000">
      <w:rPr>
        <w:rtl w:val="0"/>
      </w:rPr>
      <w:t xml:space="preserve">Izdrukāts 24.10.2025. 14.58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Atzinumi_25-TA-1470.docx</dc:title>
</cp:coreProperties>
</file>

<file path=docProps/custom.xml><?xml version="1.0" encoding="utf-8"?>
<Properties xmlns="http://schemas.openxmlformats.org/officeDocument/2006/custom-properties" xmlns:vt="http://schemas.openxmlformats.org/officeDocument/2006/docPropsVTypes"/>
</file>