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labojumus projekta 22. punktā, iesakām nedaudz papildināt skaidrojumus, piemēram, norādot kāpēc noteikumu projekta 22. punktā kā pārejas periods tiek noteikts tieši 2024. gada 30. jūnijs. Savukārt, ņemot vērā, ka, piemēram, Finanšu ministrijas izstrādātajos 2023. gada 14. novembra Ministru kabineta noteikumos Nr. 646 "Grozījumi Ministru kabineta 2007. gada 31. jūlija noteikumos Nr. 525 "Kārtība, kādā atsevišķiem naftas produktiem piemēro samazinātu akcīzes nodokļa likmi vai atbrīvojumu no akcīzes nodokļa" tiek noteikta atšķirīga pieeja pārejai uz jaunā fiskālā marķiera izmantošanu, iesakām izvērtēt un skaidrot, vai tas neradīs problēmas, neskaidrības, riskus, apgrūtinājumus nozarei un komersantiem, uz kuriem konkrētās tiesību normas attiecināmas.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6.3. apakšpunktu, kur neprecīzi skaidrots no Latvijas Degvielas tirgotāju asociācijas saņemtais priekšlikums. Vēršam uzmanību, ka konkrētais skaidrojums ir šķietami nepabeigts un ir grūti uztverams. Tāpat tajā tiek neprecīzi norādīts priekšlikumā ierosinātais realizācijas pārejas periods un noteikumu projekta punkts, kurā tiek lūgts veikt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06.12.2023.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06.12.2023.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