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ja kāda no šo noteikumu pielikumā noteiktajām ēkām nav iekļauta projektā, veic projekta grozījumus atbilstoši šo noteikumu 27. punktā noteiktajam. Ja nav noslēgts līgums par projekta īstenošanu, veic šo noteikumu 20.1., 20.2. un 20.3. apakšpunktā noteiktās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20.4. apakšpunktu. Pirmkārt, nav skaidrs, vai nosacījums "j</w:t>
            </w:r>
            <w:r w:rsidR="00000000" w:rsidRPr="00000000" w:rsidDel="00000000">
              <w:rPr>
                <w:i w:val="1"/>
                <w:rtl w:val="0"/>
              </w:rPr>
              <w:t xml:space="preserve">a kāda no šo noteikumu pielikumā noteiktajām ēkām nav iekļauta projektā, veic projekta grozījumus atbilstoši šo noteikumu 27. punktā noteiktajam</w:t>
            </w:r>
            <w:r w:rsidR="00000000" w:rsidRPr="00000000" w:rsidDel="00000000">
              <w:rPr>
                <w:rtl w:val="0"/>
              </w:rPr>
              <w:t xml:space="preserve">" paredz attiecīgo ēku iekļaut projektā arī tad, ja projekta iesniedzējs to nevēlas (šobrīd pietāvāto noteikumu 20.4. apakšpunktu iespējams lasīt arī šādi). Aicinām arī apsvērt lietoto terminoloģiju, proti, "projekts" vai "projekta veidlapa", jo noteikumu 20. punkts attiecas uz projekta veidlapas iesniegšanau, pārbaudi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aicinām tiesiskās skaidrības nolūkos precizēt otrajā teikumā paredzēto tiesisko regulējumu, kas paredz, ka "</w:t>
            </w:r>
            <w:r w:rsidR="00000000" w:rsidRPr="00000000" w:rsidDel="00000000">
              <w:rPr>
                <w:i w:val="1"/>
                <w:rtl w:val="0"/>
              </w:rPr>
              <w:t xml:space="preserve">ja nav noslēgts līgums par projekta īstenošanu, veic šo noteikumu </w:t>
            </w:r>
            <w:r w:rsidR="00000000" w:rsidRPr="00000000" w:rsidDel="00000000">
              <w:rPr>
                <w:i w:val="1"/>
                <w:u w:val="single"/>
                <w:rtl w:val="0"/>
              </w:rPr>
              <w:t xml:space="preserve">20.1.</w:t>
            </w:r>
            <w:r w:rsidR="00000000" w:rsidRPr="00000000" w:rsidDel="00000000">
              <w:rPr>
                <w:i w:val="1"/>
                <w:rtl w:val="0"/>
              </w:rPr>
              <w:t xml:space="preserve">, 20.2. un 20.3. apakšpunktā noteiktās darbības</w:t>
            </w:r>
            <w:r w:rsidR="00000000" w:rsidRPr="00000000" w:rsidDel="00000000">
              <w:rPr>
                <w:rtl w:val="0"/>
              </w:rPr>
              <w:t xml:space="preserve">." Vēršam uzmanību, piemēram, ka noteikumu 20.1. apakšpunkts paredz pienākumu ministrijai </w:t>
            </w:r>
            <w:r w:rsidR="00000000" w:rsidRPr="00000000" w:rsidDel="00000000">
              <w:rPr>
                <w:u w:val="single"/>
                <w:rtl w:val="0"/>
              </w:rPr>
              <w:t xml:space="preserve">10 darbdienu laikā pēc noteikumu spēkā stāšanās</w:t>
            </w:r>
            <w:r w:rsidR="00000000" w:rsidRPr="00000000" w:rsidDel="00000000">
              <w:rPr>
                <w:rtl w:val="0"/>
              </w:rPr>
              <w:t xml:space="preserve"> nosūtīt projektu iesniedzējiem uzaicinājumu iesniegt projekta veidlapu. Tāpat nav skaidrs nosacījums, "ja nav noslēgts līgums", tai skaitā kontekstā ar šīs pašas normas pirmo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jau sākotnējās saskaņošanas laikā vērsa uzmanību, ka jautājums būtu risināms, papildinot noteikumus ar jaunu, pastāvīgu regulējumu, kas paredz iespēju atkārtoti iesniegt projektu iesniegumus (veidlapas), vai iespēju ministrijai atkārtoti uzaicināt personas iesniegt projekta veidlapu pēc noteikumu 20. punktā noteiktā termiņa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ēka šo noteikumu izpratnē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apsvērt grozījumu nepieciešamību noteikumu projekta 2.4. apakšpunktā. Ņemot vērā izziņā un noteikumu projekta anotācijā skaidroto, mūsu ieskatā jautājumu ir iespējams risināt tiesību normu saprātīgas interpretācijas ceļā. Noteikumu projekta 1. punktā (noteikumu 2.4. apakšpunktā) paredzētais grozījums vienlaikus precizē un sašaurina noteikumos izmantojāmā termina "ēka" izpratni.  Ir paredzams, ka šāds kazuistisks uzskaitījums radīs šīs normas un noteikumu kopumā piemērošanas problēmas nākotnē un līdz ar to, visticamāk, atkārtotu nepieciešamību grozīt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lietderīgāk būtu nosacījumus par pieļaujamajiem ieguldījumiem 3.1.2.1.i. investīcijā formulēt vispārīgi, saistot šādu regulējumu ar investīcijā sasniedzamo mērķi, kā arī ar nosacījumu, ka atbalsts var tikt sniegts tikai tādiem ieguldījumiem ēkās, kur iespējams pārliecināties par šo ieguldījumu ilgtspēju.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24.03.2023. 09.00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24.03.2023. 09.00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Atzinumi_22-TA-3810.docx</dc:title>
</cp:coreProperties>
</file>

<file path=docProps/custom.xml><?xml version="1.0" encoding="utf-8"?>
<Properties xmlns="http://schemas.openxmlformats.org/officeDocument/2006/custom-properties" xmlns:vt="http://schemas.openxmlformats.org/officeDocument/2006/docPropsVTypes"/>
</file>