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vienoto valsts interneta plūsmu apmaiņas punktu (GLV-IX)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kā rīkoties iestādēm, kam līgums par GLV-IX izmantošanu jau ir noslēgts ar LVRTC. Vai arī šādā gadījumā arī jāraksta pieteikums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kā rīkoties iestādēm, kas izmanto kopīgu (nozares) datu pārraides tīklu ar vienotu interneta pieslēgumu un vienu AS. Vai pieteikumus AM jāsniedz visām vienotam tīklam pieslēgtajām iestādēm jeb pietiek ar pieteikumu no iestādes kas ir AS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29.04.2024.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29.04.2024.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Atzinumi_24-TA-97.docx</dc:title>
</cp:coreProperties>
</file>

<file path=docProps/custom.xml><?xml version="1.0" encoding="utf-8"?>
<Properties xmlns="http://schemas.openxmlformats.org/officeDocument/2006/custom-properties" xmlns:vt="http://schemas.openxmlformats.org/officeDocument/2006/docPropsVTypes"/>
</file>