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24-TA-2871: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trešo valstu pilsoņu vīzu pieteikumu pieņemšanas un ieceļošanas ierobežojumiem Latvijas Republikā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trešo valstu valstspiederīgo vīzu pieteikumu pieņemšanas un ieceļošanas ierobežojumus Latvijas Republikā un šo ierobežojumu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 punktu atbilstoši Imigrācijas likuma 4. panta 12. daļā Ministru kabinetam dotajam pilnvarojumam, ievērojot Ministru kabineta 2009. gada 3. februāra noteikumu Nr. 108 "Normatīvo aktu projektu sagatavošanas noteikumi" (turpmāk - noteikumi Nr. 108) 100.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ierosinām precizēt noteikumu projekta 1. punktu atbilstoši deleģējošai normai. Imigrācijas likuma 4. panta 12. daļa noteic, ka Ministru kabinets var izdot noteikumus, kuros paredz, kuras trešās valsts piederīgajiem un uz kādu termiņu tiek noteikti vīzu pieteikumu pieņemšanas un ieceļošanas ierobežojumi Latvijas Republikā. Esošā noteikumu projekta 1. punkta redakcija var būt maldinoša, jo šobrīd tā attiecas uz visām trešajām valstīm.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kuri ir Krievijas Federācijas diplomātisko un konsulāro pārstāvniecību darbinieki, kuri šķērso Latvijas Republikas teritoriju tranzītā oficiālo funkciju veikšanai, un viņu ģimenes locekļi, kā arī personas, kuras šķērso Latvijas Republikas teritoriju tranzītā un dodas īstermiņa komandējumā tehniskā atbalsta nodrošināšanai uz Krievijas Federācijas vēstniecību uzņemošajā valstī.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4. punktu papildināt ar izņēmumu: "personas, kuras ir vienkāršota tranzīta dokumenta (FTD) vai vienkāršota dzelzceļa tranzīta dokumenta (FRTD) turētāji un kuras dodas no Krievijas Federācijas uz Krievijas Federācijas Kaļiņingradas apgabalu un atpakaļ", līdzīgi, kā tas noteikts Ministru kabineta 2022. gada 9. septembra rīkojumā Nr. 599 "Par Krievijas Federācijas pilsoņu ieceļošanu Latvijas Republikā", par ko šī rīkojuma anotācijā minēts, ka ceļošana tranzītā uz Kaļiņingradas apgabalu atbilst Latvijas starptautiskajām saistībām. Alternatīvi lūdzam noteikumu projekta anotācijā sniegt pamatotu skaidrojumu,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Latvijas Republikas diplomātiskajās un konsulārajās pārstāvniecībās ārvalstīs atsevišķos gadījumos pieņem vīzu pieteikumus no Baltkrievijas Republikas pilsoņiem, ja tas atbilst Latvijas Republikai saistošajām starptautiskajām saistībām vai valsts nacionālajām interesēm ārpolitikas un attīstības politikas jomā, vai sabiedrības interesēs.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6. punktu, nedublējot noteikumu projekta 5.6. apakšpunktā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papildināt noteikumu projekta anotācijas 5. sadaļu ar informāciju par Eiropas Parlamenta un Padomes 2009. gada 13. jūlija regulas Nr. 810/2009, ar ko izveido Kopienas Vīzu kodeksu (Vīzu kodekss) un Eiropas Parlamenta un Padomes 2016. gada 9. marta Regulas (ES) PARLAMENTA UN PADOMES REGULA (ES) 2016/399 par Savienības Kodeksu par noteikumiem, kas reglamentē personu pārvietošanos pār robežām (Šengenas Robežu kodekss) prasību ieviešanu ar noteikumu projektu. Kā arī lūdzam šajā anotācijas sadaļā skaidrot noteikumu projektā ietvertā regulējuma atbilstību minēto regulu attiecīgi 21. panta 3. punkta "d" apakšpunktā un 6. panta 1. punkta "e" apakšpunktā noteiktajam. Jo īpaši vēršam uzmanību, ka pirmšķietami 21. panta 3. punkta "d" apakšpunkts neparedz, ka vīzu pieteikumu izskatīšanu būtu pieļaujams ierobežot, bet gan  minētās normas paredz apdraudējumu kādas dalībvalsts sabiedriskajai kārtībai, iekšējai drošībai vai sabiedrības veselībai, kā definēts Šengenas Robežu kodeksa 2. panta 19. punktā, vai kādas dalībvalsts starptautiskajām attiecībām kā iemeslu atteikumam ieceļot, kas tiek pārbaudīts, </w:t>
            </w:r>
            <w:r w:rsidR="00000000" w:rsidRPr="00000000" w:rsidDel="00000000">
              <w:rPr>
                <w:u w:val="single"/>
                <w:rtl w:val="0"/>
              </w:rPr>
              <w:t xml:space="preserve">izskatot vienotu vīzu pieteikumu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noteikumu projekta anotācijas 1.3. apakšsadaļu, konsekventi un pamatoti norādot iemeslu (-us) noteikumu projektā paredzēto ierobežojumu noteikšanai. Vēršam uzmanību, ka šobrīd kā iemesli norādīti gan Latvijas Republikas iekšējā drošība, gan sabiedriskā kārtība, gan starptautiskās attiecības, sabiedrības intereses un veselība, turklāt daļai no minētā, piemēram, veselībai vispār nav sniegts pamatojums. Tieslietu ministrijas ieskatā no anotācijā ietvertā skaidrojuma izriet, ka iemesls varētu būt vienīgi iekšējā drošība un starptautiskās attiecības, savukārt, lai kā iemeslu minētu pārējos minētos leģitīmos mērķus, nepieciešams anotāciju papildināt ar atbilstošu detalizētu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8.1.12. uz cilvēktiesībām, demokrātiskām vērtībām un pilsoniskās sabiedrības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8.1.12.apakšpunktu, jo noteikumu projektam ir ietekme uz cilvēktiesībām, nosakot noteiktus ieceļošanas ierobežojumus.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trešo valstu pilsoņu vīzu pieteikumu pieņemšanas un ieceļošanas ierobežojumiem Latvijas Republikā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nosaukumu, ievērojot noteikumu Nr. 108 90. un 91. punktā noteikto. Norādām, ka atbilstoši juridiskās tehnikas prasībām noteikumu projekta nosaukumā vārdus “kārtība”, “noteikumi” v.tml. raksta kā nosaukuma pēdējo vārdu un nosaukumu ar vārdiem “Noteikumi par” iesāk tikai retos izņēmuma gadījumos. Šajā gadījumā redzams, ka noteikumu projekta nosaukumu var izveidot atbilstoši juridiskās tehnikas prasībām, nepiemērojot izņēmuma gadījumu.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Trešo valstu pilsoņu vīzu pieteikumu pieņemšanas un ieceļošanas ierobežojumu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skaidrojumu, kāpēc sabiedrības līdzdalība netika nodrošināta.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24-TA-2871</w:t>
    </w:r>
    <w:r>
      <w:br/>
    </w:r>
    <w:r w:rsidR="00000000" w:rsidRPr="00000000" w:rsidDel="00000000">
      <w:rPr>
        <w:rtl w:val="0"/>
      </w:rPr>
      <w:t xml:space="preserve">Izdrukāts 31.01.2025. 20.43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24-TA-2871</w:t>
    </w:r>
    <w:r>
      <w:br/>
    </w:r>
    <w:r w:rsidR="00000000" w:rsidRPr="00000000" w:rsidDel="00000000">
      <w:rPr>
        <w:rtl w:val="0"/>
      </w:rPr>
      <w:t xml:space="preserve">Izdrukāts 31.01.2025. 20.43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Atzinumi_24-TA-2871.docx</dc:title>
</cp:coreProperties>
</file>

<file path=docProps/custom.xml><?xml version="1.0" encoding="utf-8"?>
<Properties xmlns="http://schemas.openxmlformats.org/officeDocument/2006/custom-properties" xmlns:vt="http://schemas.openxmlformats.org/officeDocument/2006/docPropsVTypes"/>
</file>