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21-TA-295: Plāna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Jaunatnes politikas īstenošanas plāns 2023. - 2024.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atzinumos sniegtajiem iebildumiem)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2023. - 2024. gadam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1.pielikumā novērst šādas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pasākumam 2024.gadā nav norādīts Zemkopības ministrijai vidēja termiņa budžeta ietvara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pasākumam 2023. un 2024.gadā nav norādīts Izglītības un zinātnes ministrijai vidēja termiņa budžeta ietvara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1.3.2., 1.5.2., 2.1.6., 2.4.2., 2.4.3., 2.5.3., 4.2.2. pasākumam nav norādīta par pasākumu atbildīgā institūcija un valsts budžeta programmas/apakšprogrammas kods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uzdevumam nav piesummēts klāt 1.4.7.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uzdevumam nav piesummēts klāt 2.1.8.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uzdevumam nav piesummēts klāt 2.5.2. un 2.5.6.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pasākumam nav norādīts pasākuma īstenošanai plānotais un/vai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pasākumam nav norādīts pasākuma īstenošanai plānotais un/vai nepieciešamais finansējums, kā arī atbildīgā institūcija un valsts budžeta programmas/apakšprogrammas kods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pasākumam nav norādīts vidēja termiņa budžeta ietvara likumā plānotais un papildu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4.2.3.pasākumam nav norādīta programma/apakšprogramma, kurā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2023. - 2024. gadam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1.pielikumā tabulas kopsavilkumā "Finansējums plāna realizācijai kopā" Izglītības un zinātnes ministrijas budžeta apakšprogrammai 63.08.00 "Eiropas Sociālā fonda (ESF) projekti (2014-2020)" nav sasummēts viss pasākumos norādītais finansējuma apmērs. Attiecīgi precizējams Izglītības un zinātnes ministrijai plāna realizācijai kopā likumā plānotais un papildu nepieciešamais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2023. - 2024. gadam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1.pielikumā tabulas kopsavilkumā "Finansējums plāna realizācijai kopā" norādītais Izglītības un zinātnes ministrijai budžeta programmā 74.00.00 "Atveseļošanās un noturības mehānisma (ANM) projektu un pasākumu īstenošana" 2024.gadā vidēja termiņa budžeta ietvara likumā plānotais finansējums 702 595 </w:t>
            </w:r>
            <w:r w:rsidR="00000000" w:rsidRPr="00000000" w:rsidDel="00000000">
              <w:rPr>
                <w:i w:val="1"/>
                <w:rtl w:val="0"/>
              </w:rPr>
              <w:t xml:space="preserve">euro</w:t>
            </w:r>
            <w:r w:rsidR="00000000" w:rsidRPr="00000000" w:rsidDel="00000000">
              <w:rPr>
                <w:rtl w:val="0"/>
              </w:rPr>
              <w:t xml:space="preserve"> apmērā pārsniedz likumā "Par valsts budžetu 2023. gadam un budžeta ietvaru 2023., 2024. un 2025. gadam" apstiprināto.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2023. - 2024. gadam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1.pielikumā 2.2.1.pasākumam norādīto papildu nepieciešamo finansējumu 2024.gadam un turpmāk ik gadu 87 000 </w:t>
            </w:r>
            <w:r w:rsidR="00000000" w:rsidRPr="00000000" w:rsidDel="00000000">
              <w:rPr>
                <w:i w:val="1"/>
                <w:rtl w:val="0"/>
              </w:rPr>
              <w:t xml:space="preserve">euro</w:t>
            </w:r>
            <w:r w:rsidR="00000000" w:rsidRPr="00000000" w:rsidDel="00000000">
              <w:rPr>
                <w:rtl w:val="0"/>
              </w:rPr>
              <w:t xml:space="preserve"> apmērā, lūdzam pievienot detalizētus aprēķinus papildu nepieciešamā finansējuma apmēram. Vēršam uzmanību, ka atbilstoši Ministru kabineta 2014.gada 2.decembra noteikumos Nr.737 “Attīstības plānošanas dokumentu izstrādes un ietekmes izvērtēšanas noteikumi” iekļautajiem nosacījumiem plānā ietver pasākumu izpildei pieejamo, kā arī papildus nepieciešamo finansējumu, pievienojot detalizētus aprēķinus par ietekmi uz valsts budžetu un pašvaldību budžetiem atbilstoši normatīvajam aktam par tiesību akta sākotnējās ietekmes izvērtēšanas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plāna projekta 2.pielikuma 2.5.6.pasākumam norādīto aprēķinu, jo 3.punktā “informatīvo materiālu drukas izdevumi” informatīvajam materiālam “Tava personīgā higēna” norādītas izmaksas 2 462 </w:t>
            </w:r>
            <w:r w:rsidR="00000000" w:rsidRPr="00000000" w:rsidDel="00000000">
              <w:rPr>
                <w:i w:val="1"/>
                <w:rtl w:val="0"/>
              </w:rPr>
              <w:t xml:space="preserve">euro</w:t>
            </w:r>
            <w:r w:rsidR="00000000" w:rsidRPr="00000000" w:rsidDel="00000000">
              <w:rPr>
                <w:rtl w:val="0"/>
              </w:rPr>
              <w:t xml:space="preserve"> apmērā, savukārt to aprēķinot veidojas 246 </w:t>
            </w:r>
            <w:r w:rsidR="00000000" w:rsidRPr="00000000" w:rsidDel="00000000">
              <w:rPr>
                <w:i w:val="1"/>
                <w:rtl w:val="0"/>
              </w:rPr>
              <w:t xml:space="preserve">euro</w:t>
            </w:r>
            <w:r w:rsidR="00000000" w:rsidRPr="00000000" w:rsidDel="00000000">
              <w:rPr>
                <w:rtl w:val="0"/>
              </w:rPr>
              <w:t xml:space="preserve"> un informatīvajam materiālam “HIV infekcija – tas Tev ir jāzin” ir norādītas izmaksas 635 </w:t>
            </w:r>
            <w:r w:rsidR="00000000" w:rsidRPr="00000000" w:rsidDel="00000000">
              <w:rPr>
                <w:i w:val="1"/>
                <w:rtl w:val="0"/>
              </w:rPr>
              <w:t xml:space="preserve">euro</w:t>
            </w:r>
            <w:r w:rsidR="00000000" w:rsidRPr="00000000" w:rsidDel="00000000">
              <w:rPr>
                <w:rtl w:val="0"/>
              </w:rPr>
              <w:t xml:space="preserve">, savukārt to aprēķinot veidojas 365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politikas īstenošanas plāns paredz priekšlikumus tādām rīcībām, kas potenciāli var kvalificēties kā komercdarbības atbalsta pasākumi, lūdzam politikas īstenošanas plānā ietvert informāciju, ka, izstrādājot plānotos pasākumus, tie tiks ieviesti ievērojot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2023. - 2024. gadam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1.pielikumā vairākiem pasākumiem ailē "Piezīmes" norādīts, ka pasākums tiks īstenos pamatdarbības ietvaros, vienlaikus nenorādot, vai pasākumam finansējums ir plānots vidēja termiņa budžeta ietvara likumā, vai arī tas ir nepieciešams papildus. Lai precizētu un novērstu interpretācijas iespējas, lūdzam vārdu "pamatdarbības ietvaros" vietā lietot vārdus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2023. - 2024. gadam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pielikumā pie pasākuma Nr.3.3.2. “Īstenota VLT aktivitāte “Atbalsts lauku jauniešiem uzņēmējdarbības veicināšanai”, t.sk. konkurss “Laukiem būt”” norādīts, ka tas īstenojams turpmāk ik gadu, savukārt plāna IV sadaļā norādītajā tabulā minēts, ka pasākums ir īstenojams aptuveni 34 mēnešus, turklāt plāna pielikumā norādīts, ka finansējums šī pasākuma īstenošanai nodrošināms no Zemkopības ministrijas budžeta apakšprogrammas 65.20.00 “Tehniskā palīdzība Eiropas Lauksaimniecības fonda lauku attīstībai (ELFLA) apgūšanai (2014-2020)”, bet vēršam uzmanību, ka šajā budžeta apakšprogrammā finansējums plānošana ir terminēta, ievērojot, ka tā piesaistīta konkrētam plānošanas periodam. Attiecīgi lūdzam precizēt un novērst pretrunu.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14.06.2023.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14.06.2023.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Atzinumi_21-TA-295.docx</dc:title>
</cp:coreProperties>
</file>

<file path=docProps/custom.xml><?xml version="1.0" encoding="utf-8"?>
<Properties xmlns="http://schemas.openxmlformats.org/officeDocument/2006/custom-properties" xmlns:vt="http://schemas.openxmlformats.org/officeDocument/2006/docPropsVTypes"/>
</file>