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Nemateriālā kultūras mantojuma saglabāšanas un attīstības plāns 2023.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“Vidēja termiņa budžeta ietvara likumā plānotais finansējums” ir precizējams Ekonomikas ministrijai norādītais kopējais finansējuma apmērs. Aicinām atsevišķi norādīt, ka, šobrīd nemateriālā kultūras mantojuma popularizēšanai nav paredzēts speciāls finansējums un, ja papildu speciāls finansējums netiks paredzēts, tad nemateriālā kultūras mantojuma popularizēšana tiks īstenota esošā finansējuma ietvaros un jau esošo/plānoto pasākumu ietvaros, tas ir, netiks izstrādāts īpašs pasākumu plāns vai īpaša programma nemateriālā kultūras mantojuma atpazīstamības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21.07.2023.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21.07.2023.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Atzinumi_22-TA-3387.docx</dc:title>
</cp:coreProperties>
</file>

<file path=docProps/custom.xml><?xml version="1.0" encoding="utf-8"?>
<Properties xmlns="http://schemas.openxmlformats.org/officeDocument/2006/custom-properties" xmlns:vt="http://schemas.openxmlformats.org/officeDocument/2006/docPropsVTypes"/>
</file>