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418 16.5. apakšpunktam un 50. punktam projektu īstenošanas termiņš ir 2026. gada 30. jūnijs. Attiecīgi lūdzam noteikumu projekta anotācijā skaidrot pamatojumu noteikumu projekta regulējumam, kas paredz, ka projekta ietvaros izmaksas iespējams attiecināt līdz 2027. gada 31. decembrim (t.i., vairāk nekā gadu pēc projektu īstenošanas), nepieciešamības gadījumā noteikumu projektā precizējot projekta īstenošanas vai izmaksu attiecināmības termiņu. Anotācijā lūdzam arī sniegt pamatojumu, kā, nosakot izmaksu attiecināmības termiņu - 2027. gada 31. decembris -, paredzēts ievērot Eiropas Parlamenta un Padomes 2021. gada 12. februāra Regulas (ES) 2021/241, ar ko izveido Atveseļošanas un noturības mehānismu nodrošināt Atveseļošanas un noturības mehānisma investīciju īstenošanu, 18. panta 4. punkta "i" apakšpunktā noteikto investīciju īstenošanas un to rādītāju sasniegšanas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ar noteikumu projektu tiek precizēts noteikumu Nr. 418 54.1.15. apakšpunkts, nosakot ka kompetences centrs var sniegt priekšlikumus viedās specializācijas ilgtermiņa stratēģijas pilnveidošanā un darbības plāna precizēšanā, </w:t>
            </w:r>
            <w:r w:rsidR="00000000" w:rsidRPr="00000000" w:rsidDel="00000000">
              <w:rPr>
                <w:u w:val="single"/>
                <w:rtl w:val="0"/>
              </w:rPr>
              <w:t xml:space="preserve">taču tas nav obligāti</w:t>
            </w:r>
            <w:r w:rsidR="00000000" w:rsidRPr="00000000" w:rsidDel="00000000">
              <w:rPr>
                <w:rtl w:val="0"/>
              </w:rPr>
              <w:t xml:space="preserve">. Saistībā ar minēto vēršam uzmanību, ka noteikumu Nr. 418 54.1. apakšpunktā tiek uzskaitīti kompetences centra pienākumi, nevis tiesības, turklāt arī no noteikumu Nr. 418 54.1.15. apakšpunkta formulējuma izriet, ka priekšlikumu sniegšana ir obligāta, tādēļ lūdzam izvērtēt un svītrot vai precizēt noteikumu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Eiropas Savienības regulu prasības, pamatojoties uz Ministru kabineta 2021. gada 7. septembra noteikumu Nr. 617 "Tiesību akta projekta sākotnējās ietekmes izvērtēšanas kārtība" 9.19. apakšpunktu, lūdzam aizpildīt noteikumu projekta anotācijas 5. sadaļu (jo īpaši 5.4. sadaļas 1. tabulu) ar informāciju par konkrēto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1. darbībām, kas saistītas ar fosilo kurināmo, tostarp tā pakārtotu izmantošanu, izņemot projektiem elektroenerģijas vai siltuma ražošanā, kā arī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punktu, lūdzam noteikumu projekta 6. punktā svītrot atsauci uz Eiropas Komisijas paziņojumu “Tehniskie norādījumi par principa “nenodarīt būtisku kaitējumu” piemērošanu saskaņā ar Atveseļošanas un noturības mehānisma regulu” (Eiropas Savienības Oficiālais Vēstnesis, 2021. gada 18. februāris, Nr. C 58/1), nepieciešamības gadījumā pārņemot minētā paziņojuma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Atveseļošanas fonda finansējuma saņēmējam ir pienākums atmaksāt aģentūrai nelikumīgo projekta ietvaros piešķirto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Procenti ir aprēķināmi no dienas, kad nelikumīgais atbalsts pirmo reizi nodots sadarbības partnerim, līdz tā atgūšanas dienai. Minētajā gadījumā finansējuma saņēmējam ir tiesības no sadarbības partnera saņemt kompensāciju atmaksātā nelikumīgā atbalsta  (kopā ar procentiem)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punkta otro teikumu, nedublējot (neskaidrojot) Komercdarbības atbalsta kontroles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54.1.24. atmaksāt aģentūrai neieguldīto Atveseļošanas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sniedzot skaidrojumu arī par noteikumu projekta 1. punkta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Nozares ministrija sagatavo izskatīšanai Ministru kabinetā ziņojumu par investīcijas īstenošanu, kas ietver informāciju par turpmāku investīcijas uzraudzību pēc 2026. gada 31. augusta, tai skaitā par finansējuma izlietojumu, sniedzot priekšlikumus par finansējuma pārvirzīšanu nozares ministrijas atbalsta pasākumiem Eiropas Savienības kohēzijas politikas programmas 2021.–2027. gadam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un 13. punktā ietverto regulējumu iekļaut atbilstošā nodaļā, jo attiecīgie jautājumi nav saistīti ar projekta īstenošanu un finansējuma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Informācijas pieejamība un dokumentu glabāšana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precīzāk noteikt, par kādas informācijas un dokumentu glabāšanu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w:t>
    </w:r>
    <w:r>
      <w:br/>
    </w:r>
    <w:r w:rsidR="00000000" w:rsidRPr="00000000" w:rsidDel="00000000">
      <w:rPr>
        <w:rtl w:val="0"/>
      </w:rPr>
      <w:t xml:space="preserve">Izdrukāts 29.04.2024.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w:t>
    </w:r>
    <w:r>
      <w:br/>
    </w:r>
    <w:r w:rsidR="00000000" w:rsidRPr="00000000" w:rsidDel="00000000">
      <w:rPr>
        <w:rtl w:val="0"/>
      </w:rPr>
      <w:t xml:space="preserve">Izdrukāts 29.04.2024.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Atzinumi_24-TA-204.docx</dc:title>
</cp:coreProperties>
</file>

<file path=docProps/custom.xml><?xml version="1.0" encoding="utf-8"?>
<Properties xmlns="http://schemas.openxmlformats.org/officeDocument/2006/custom-properties" xmlns:vt="http://schemas.openxmlformats.org/officeDocument/2006/docPropsVTypes"/>
</file>