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2.2. reformu un investīciju virziena “Uzņēmumu digitālā transformācija un inovācijas” 2.2.1.3.i. investīcijas "Atbalsts jaunu produktu un pakalpojumu ieviešanai uzņēmējdarbībā"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iesaistīto institūciju un finansējuma saņēmēja tiesības pieprasīt un saņemt tiešu pieeju datiem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neizriet, ka finansējuma saņēmējam būtu noteiktas tiesības pieprasīt un saņemt tiešu pieeju datiem valsts informācijas sistēmās. Attiecīgi lūdzam vai nu precizēt noteikumu projekta 1.7. apakšpunktu, vai papildināt noteikumu projektu ar attiecīgu normu, kas piešķir finansējuma saņēmējam šādas tiesības, skaidri definējot, no kādām informācijas sistēmām un kādā apjomā pieprasīt datus. Kā arī papildus vēršam uzmanību, lai šādu normu varētu piemērot praksē, likumos, kuros ir regulēta kārtība attiecīgās informācijas sniegšanai, ir jābūt noteiktam attiecīgo valsts pārvaldes iestāžu pienākumam šādu informāciju sniegt. Noteikumu projekta 86. punktā ir noteiktas tikai aģentūras un nozares ministrijas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ieņēmumu dienests norāda, ka nodokļu administrācijas ierēdnis (darbinieks) drīkst sniegt informāciju par nodokļu maksātāju bez viņa piekrišanas tikai likuma “Par nodokļiem un nodevām” 22.panta otrajā daļā noteiktajos gadījumos. No minētā panta otrās daļas 5.punkta izriet, ka nodokļu administrācijas ierēdnis (darbinieks) drīkst sniegt informāciju par nodokļu maksātāju bez viņa piekrišanas citu valsts pārvaldes funkciju un uzdevumu izpildes nodrošināšanai vai speciālajās tiesību normās par sabiedrisko pakalpojumu regulēšanu noteikto regulēšanas funkciju izpildes nodrošināšanai, kā arī valsts institūciju funkciju izpildes nodrošināšanai — informāciju, kura ir vienīgi nodokļu administrācijas rīcībā vai kuru nodokļu administrācijai atbilstoši tās kompetencei ir pienākums radīt. Līdz ar ko privātpersona par nodokļu maksātāju nevar saņemt informāciju bez paša nodokļu maksātāja piekrišanas. Ievērojot minēto, lūdzam anotācijā sniegt skaidrojumu par finansējumu saņēmēja tiesībām pieprasīt un saņemt tiešu pieeju datiem valsts informācijas sistēmās (uz kāda likuma pamata), kā arī skaidrot kādā apjomā finansējuma saņēmējs varēs piekļūt datiem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sākotnējais digitālā brieduma tests – sadarbības partnera esošā digitālā un inovāciju brieduma novērtējums, ko sadarbības partneris veic sadarbībā ar Eiropas digitālās inovācijas centru, lai noteiktu sadarbības partnera digitalizācijas vajadzības un spēju izmantot digitālās tehnoloģijas, kas tiek definētas digitālās attīstības ceļa kartē;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pēc investīciju projekta īstenošanas ir jāveic arī otrreizējo digitālā brieduma tests.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papildināt arī noteikumu projekta 2.punktu ar minēto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 komersanti, kas saņem atbalstu digitālo produktu, pakalpojumu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7.3.1.apakšpunktu atbilstoši kopējo rādītāju sarakstā noteiktajai rādītāja redakcijai: Komersanti, kas saņem atbalstu digitālo produktu, pakalpojumu un lietojumprogrammu izstrādei vai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kopā ar projekta iesniegumu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21. punktu, nosakot, ka līdz ar projekta iesniegumu iesniedzams arī to personu saraksts, uz kuru saimnieciskās darbības rezultātu datiem tas balstās, lai apliecinātu atbilstību šo noteikumu 32.2. un 32.3. apakšpunktos minētajām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kopā ar projekta iesniegumu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šādu apakšpunktu: </w:t>
            </w:r>
            <w:r w:rsidR="00000000" w:rsidRPr="00000000" w:rsidDel="00000000">
              <w:rPr>
                <w:i w:val="1"/>
                <w:rtl w:val="0"/>
              </w:rPr>
              <w:t xml:space="preserve">"21.4. apliecinājumu, ka projekta iesniedzējs ir izstrādājis iekšējās kontroles sistēmu krāpšanas, korupcijas un interešu konflikta novēršanai"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Projektu iesnieguma vērtēšanu aģentūra veic ne vēlāk kā divu kalendāro mēnešu laikā pēc projektu iesniegumu iesniegšanas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aģentūras lēmuma pieņemšanas termiņu šajā gadījumā nosaka Administratīvā procesa likums, tādēļ lūdzam dzēst noteikumu projekta 22.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24.3.3. gadījumā, ja izveidojas pieejamā Atveseļošanas fonda finansējuma atlikums, kas nav pietiekams secīgi nākamā kvalitatīvā projekta atbalstīšanai, tad atlikušo finansējumu piešķir, lai atbalstītu nākamo projekta iesniegumu ar augstāko vērtējumu saskaņā ar šo noteikumu </w:t>
            </w:r>
            <w:r w:rsidR="00000000" w:rsidRPr="00000000" w:rsidDel="00000000">
              <w:rPr>
                <w:rtl w:val="0"/>
              </w:rPr>
              <w:t xml:space="preserve">24.3.2. </w:t>
            </w:r>
            <w:r w:rsidR="00000000" w:rsidRPr="00000000" w:rsidDel="00000000">
              <w:rPr>
                <w:rtl w:val="0"/>
              </w:rPr>
              <w:t xml:space="preserve">apakšpunktā</w:t>
            </w:r>
            <w:r w:rsidR="00000000" w:rsidRPr="00000000" w:rsidDel="00000000">
              <w:rPr>
                <w:rtl w:val="0"/>
              </w:rPr>
              <w:t xml:space="preserve">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24.3.3. apakšpunktu, nodrošinot nepārprotamību par atbalstīšanas secību. Saskaņā ar noteikumu projekta 24.3.4. apakšpunktā minēto ir iespējams atbalstīt projektu arī nepilnā apmērā, taču šajā punktā norādīta pretrunīga kārtība, proti, ja kāda projekta atbalstīšanai finansējums nav pietiekams, atbalsta nākamo aiz tā. Vienlaikus lūdzam veikt salāgot skaidrojumus arī anotācijā, jo šobrīd paredzēta savstarpēji pretrunīga kārtība. Proti, anotācijā norādīts, ka gadījumā, ja iesniedzējs atsakās īstenot projektu ar samazinātu finansējumu, tiek organizēta jauna projektu iesniegumu atlase. Vienlaikus norādīts, ka gadījumā, ja finansējums nav pietiekams secīgi nākamā projekta atbalstīšanai, tad atlikušo finansējumu piešķir, lai atbalstītu nākamo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tas apvieno vismaz vienu nozares asociāciju vai vismaz piecus savstarpēji nesaistītus nozares komersantus vai atzītas lauksaimniecības pakalpojumu kooperatīvās sabiedrības, kuru kopējais apgrozījums pēdējā noslēgtajā pārskata gadā ir vismaz 150 milj. </w:t>
            </w:r>
            <w:r w:rsidR="00000000" w:rsidRPr="00000000" w:rsidDel="00000000">
              <w:rPr>
                <w:i w:val="1"/>
                <w:rtl w:val="0"/>
              </w:rPr>
              <w:t xml:space="preserve">euro </w:t>
            </w:r>
            <w:r w:rsidR="00000000" w:rsidRPr="00000000" w:rsidDel="00000000">
              <w:rPr>
                <w:rtl w:val="0"/>
              </w:rPr>
              <w:t xml:space="preserve">vai ja projekta iesniedzējs neatbilst minētajai prasībai, tas iesniedz atbalsta vēstuli no nozares asociācijas, kas apvieno nozares saimnieciskās darbības veicējus, kuru kopējais apgrozījums ir vismaz 150 milj. </w:t>
            </w:r>
            <w:r w:rsidR="00000000" w:rsidRPr="00000000" w:rsidDel="00000000">
              <w:rPr>
                <w:i w:val="1"/>
                <w:rtl w:val="0"/>
              </w:rPr>
              <w:t xml:space="preserve">euro </w:t>
            </w:r>
            <w:r w:rsidR="00000000" w:rsidRPr="00000000" w:rsidDel="00000000">
              <w:rPr>
                <w:rtl w:val="0"/>
              </w:rPr>
              <w:t xml:space="preserve">pēdējā pārskata gadā. Nosakot kopējo apgrozījumu, tajā neietver pētniecības un zināšanu izplatīšanas organizāciju un pašvaldību apgrozījumu;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iesniedzamās asociācijas atbalsta vēstules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tā vadības līmenī ir ne mazāk kā piecu gadu pieredze inovācijas projektu īstenošanā un uzraudzībā saistībā ar komercdarbības atbalsta normu ievērošanu, kur kopējā summa sastāda vismaz 2 500 000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par to, kas šīs prasības izpildes kontekstā saprotams kā inovāciju projekts, tostarp norādīt, ja ar to saprotami tikai ierobežotu 2014.–2020. gada plānošanas perioda specifiskā atbalsta mērķu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projekta iesniedzējam pēc pēdējiem Valsts ieņēmumu dienesta publicētiem pārskatiem, kas nepārsniedz vienu kalendāro mēnesi, nav Valsts ieņēmumu dienesta administrēto nodokļu parāda,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 </w:t>
            </w:r>
            <w:r w:rsidR="00000000" w:rsidRPr="00000000" w:rsidDel="00000000">
              <w:rPr>
                <w:rtl w:val="0"/>
              </w:rPr>
              <w:t xml:space="preserve">daļu ir pagarināts, sadalīts termiņos, atlikts vai atkārtoti sadalīts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atbilstība noteikumu projekta 34.2. apakšpunktā noteiktajam tiks vērtēta vērtēšanas kritērija ietvaros (t.i., vērtēšanas laikā pirms vērtēšanas komisijas atzinuma izdošanas). Atkārtota nodokļu parāda neesamības pārbaude projekta iesnieguma apstiprināšanas brīdī nav racionāla. Vienlaikus vēršam uzmanību, ka noteikumu projektā nav paredzēta rīcība gadījumā, ja projekta iesnieguma apstiprināšanas brīdī projekta iesniedzējam tiktu konstatēts nodokļu parāds.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uz projekta iesniedzēju nav attiecināmi šādi izslēgšanas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30.3.apakšpunktā noteiktos izslēgšanas kritērijus atbilstoši Eiropas Savienības fondu 2021.-2027.gada plānošanas perioda vadības likuma 22.pantam, kas nacionāli pārņemti no Finanšu regulas 136.panta.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iesnieguma ietvaros netiek iekļautas šādas darbības, kas saistītas ar principu "nenodarīt būtisku kaitējumu" saskaņā ar Komisijas Regulas Nr. 2021/241 5.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 pielikumā pievienoto projektu iesniegumu vērtēšanas kritēriju kopu ar kritēriju, kas paredz vērtēt atbilstību noteikumu projekta 35. punktā iekļautajām prasībām (šobrīd paredzētie kvalitātes kritēriji Nr. 5.1. un 5.2. konceptuāli varētu atbilst "nenodarīt būtisku kaitējumu" principam, bet minētie kritēriji neaptver noteikumu 35. punktā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44.1.3. pētniecības projektu vērtēšanas komisijas izvērtētai  ekonomiskai priekšizpētei pētniecības projektiem, kuru kopsumma pārsniedz 250 000 </w:t>
            </w:r>
            <w:r w:rsidR="00000000" w:rsidRPr="00000000" w:rsidDel="00000000">
              <w:rPr>
                <w:i w:val="1"/>
                <w:rtl w:val="0"/>
              </w:rPr>
              <w:t xml:space="preserve">euro</w:t>
            </w:r>
            <w:r w:rsidR="00000000" w:rsidRPr="00000000" w:rsidDel="00000000">
              <w:rPr>
                <w:rtl w:val="0"/>
              </w:rPr>
              <w:t xml:space="preserve">, atbilstoši Komisijas regulas Nr. 651/2014 2. panta 87. punktā minētajai definīcijai, par kuru saņemts labvēlīgs aģentūras lēmums par atbilstību komercdarbības atbalsta nosacījumiem. Maksimālais finansējuma apjoms nepārsniedz 300 000 </w:t>
            </w:r>
            <w:r w:rsidR="00000000" w:rsidRPr="00000000" w:rsidDel="00000000">
              <w:rPr>
                <w:i w:val="1"/>
                <w:rtl w:val="0"/>
              </w:rPr>
              <w:t xml:space="preserve">euro </w:t>
            </w:r>
            <w:r w:rsidR="00000000" w:rsidRPr="00000000" w:rsidDel="00000000">
              <w:rPr>
                <w:rtl w:val="0"/>
              </w:rPr>
              <w:t xml:space="preserve">gadā vienam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2.4.punkts nosaka, ka finansējuma saņēmējs ir kompetences centrs. Lūdzam izvērtēt, vai nosacījums, ka maksimālais finansējuma apjoms nepārsniedz 300 000 euro gadā vienam finansējuma saņēmējam ir korekts, jo šo noteikumu 44.1.punkts attiecas sadarbības partneru darbībām, savukārt, uz finansējuma saņēmējam pieškiramo atbalstu attiecas Komisijas regulas Nr.  1407/2013 3. panta 2. punktā noteiktie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46.12. darbībām, kas jau ir pabeigtas brīdī, kad projekta iesniegums iesniegts Vadības informācijas sistēmā vai pētniecības projekta iesniegums iesniegts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53.punktā ir noteikts, ka gadījumā, ja darbs pie projekta sākts pirms projekta iesnieguma iesniegšanas Vadības informācijas sistēmā, tad viss projekts nav attiecināms. Tāpat noteikumu projekta 45.punktā ir noteikts, ja pētniecības projekts ir uzsākts, bet nav iesniegts projekta iesniegums kādā no atbalsta programmām, tad pētniecības projektam atbalsts netiek sniegts. Attiecīgi 46.12.apakšpunkts ir pretrunā ar abiem minētiem punktiem, jo 46.12.apakšpunkts paredz, ka ir iespējamas pabeigtās darbības pirms projekta iesniegšanas.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Atbalstu, saskaņā ar Komisijas Regulu Nr.1407/2013 un Komisijas Regulu Nr.651/2014, nepiešķir šādām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nodalīt šo noteikumu 49.punkta apakšpunktus, kas attiecas uz atbalsta saņēmēju, kam atbalstu piešķir saskaņā ar Komisijas Regulu Nr.1407/2013 un Komisijas Regulu Nr.651/2014, jo šobrīd, piemēram, 49.1., 49.2., 49.6 apakšpunkti ir pretrunā 49.punktam.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projekta iesniedzējs darbojas kādā no neatbalstāmajām nozarēm saskaņā ar Komisijas regulas Nr. 651/2014 1. panta 3. punktu un Komisijas Regulu Nr.1407/2013 1. panta 2. punktu, komercdarbības atbalstu drīkst piešķirt tikai tad, ja tiek skaidri nodalītas atbalstāmās darbības, gan ar to īstenošanu saistītās finanšu plūsmas no citu darbības nozaru darbībām un finanšu plūsmām, nodrošinot, ka darbības izslēgtajās nozarēs negūst labumu no komercdarbības atbalsta saskaņā ar Komisijas regulas Nr. 651/2014 1. panta 3. punkta pēdējo rindkopu un Komisijas Regulu Nr.1407/2013 1.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atsaukties arī uz šo noteikumu 49.punktu, jo tajā minētas neatbalstāmās nozares un darbības, attiecībā uz kurām jānodrošina izmaksu un darbību nošķiršana.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sadarbības partneriem izmaksas attiecināmas tiktāl, cik tās attiecas uz konkrēto pētniecības projektu. Finansējumu šajā apakšpunktā minētajām darbībām sniedz saskaņā ar Komisijas regulas Nr. 651/2014 25. panta 3. punkta "a", "b", "c", "d"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51.1. apakšpunkta punktus papildināt ar atsaucēm uz attiecīgajiem Komisijas regulas Nr. 651/2014 25. panta 3.punkta apakšpunktiem, tā lai skaidrs, ar kuru Komisijas regulas Nr. 651/2014 25. panta 3.punkta apakšpunktu kuras izmaksas programmas ietvaros tiek atbalstītas (piemēram, pēc analoģijas kā 51.1.7. un 51.1.8.apakšpunktā).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51.1.8. sadarbības partnera īpašumā esošo ēku un zemi, instrumentu, iekārtu un to aprīkojuma, patentu un licenču amortizācijas izmaksas, ciktāl tos izmanto pētniecības projektā, tai skaitā finanšu nomā iegādāto iekārtu amortizācijas izmaksas atbilstoši Komisijas regulas Nr. 651/2014 25.panta 3.punkta “c” apakšpunktā noteiktajam. Izmaksas par ēkām iespējams attiecināt no konkrētas daļas. Iekārtu amortizācijai piemēro tādu pašu nolietojuma aprēķināšanas metodi kā nomnieka īpašumā esošajiem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komercdarbības atbalsts no valsts, pašvaldības, Eiropas Savienības vai citiem publiskajiem līdzekļiem šī vai cita atbalsta pasākuma vai projekta ietvaros. Patentu un licenču amortizācijas izmaksas var būt attiecināmas tikai tad, ja tās iegādātas pēc pētniecības projekta iesnieguma iesniegšanas finansējuma saņēmējam. Ja laiks, kamēr telpas, instrumentus, iekārtas, patentus un licences izmanto pētniecībā, neaptver visu attiecīgo telpu, instrumentu, iekārtu, patentu un licenču lietderīgās lietošanas laiku, par attiecināmajām izmaksām uzskata tikai tādas amortizācijas izmaksas, kas atbilst pētniecības projekta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tā, lai skaidrs, kādas zemes izmaksas tiks attiecinātas, jo zemei nav amortizācijas izmaksas. Skaidrojam, ka atbilstoši Komisijas regulas Nr.651/2014 25.panta 3.punkta c)apakšpunktam attiecībā uz zemi par attiecināmajām izmaksām ir uzskatāmas komerciālās nodošanas izmaksas vai faktiski veikto kapitālieguldījumu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Maksimāli pieļaujamā finansējuma intensitāte saskaņā ar Komisijas regulas Nr. 651/2014 25. panta 5. punkta “a”, “b”, “c”, “d” apakšpunktiem, 6. punkta “a”, “b” apakšpunktiem un 7. punktu no pētniecības projekta kopējām attiecināmajām izmaksām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651/2014 25. panta 5. punkta “a” apakšpunkts attiecas uz atbalsta intensitāti fundamentālo pētījumu gadījumā, kas šo noteikumu ietvaros nav paredzēts, savukārt, Komisijas regulas Nr. 651/2014 25. panta 6. punkta “b” apakšpunkta nosacījumi ir iekļauti šo noteikumu 63.punktā, līdz ar to lūdzam precizēt šo noteikumu 61.punktā dotās atsauces uz Komisijas regulas Nr. 651/2014 25. panta attiecīgo punktu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75.6. izstrādāt pētniecības projektu vērtēšanas kritēriju piemērošanas metodiku atbilstoši Atveseļošanas fonda plānā noteiktajiem projektu pieteikumu vērtēšanas kritērijiem un ne vēlāk kā viena mēneša laikā pēc šo noteikumu spēkā stāšanās, publicēt to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AF plānā nav ietverti pētniecības projektu vērtēšanas kritēriji. Lūdzam precizēt šo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Aģentūrai, papildus Ministru kabineta 2021. gada 7. septembra noteikumos Nr. 621 "Eiropas Savienības Atveseļošanas un noturības mehānisma plāna īstenošanas un uzraudzības kārtība" (turpmāk – noteikumi Nr. 621) 2. un 9.punktos noteiktajam,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76.punktu ar papildus aģentūras pienākumu veikt sasniegto atskaites punktu un mērķu pamatojošās dokumentācijas pārbaudi, t.sk. datu ticamības pārbaudi.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piesaistīt nozares ministriju projektu uzraudzības posmā un pētniecības projektu  maksājuma pieprasījuma izvērtēšanas posmā,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kuros gadījumos aģentūrai ir pienākums piesaistīt nozares ministriju projektu maksājuma pieprasījuma izvērtēšanas procesā, vai precizēt noteikumu projekta 76.2. apakšpunktu, paredzot, ka nozares ministrijas iesaiste maksājuma pieprasījuma izvērtēšanas procesā ir aģentūras tiesības, nevis pienākums. Vēršam uzmanību, ka šobrīd anotācijā ir skaidrots, kādos gadījumos aģentūra var piesaistīt nozares ekspertus un citu institūciju pārstāvjus, bet ne kādos tai ir pienākums to darīt.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76.5. izvērtēt pētniecības projektu un ar grozījumiem noslēgtajā līgumā par projekta īstenošanu iekļaut izvērtētos pētniecības projektus finansējuma saņēmēja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vērtēšanas funkciju nošķīrumu starp aģentūru un finansējuma saņēmēju, lūdzam noteikumu projekta 76.5. apakšpunktu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76.5. izvērtēt pētniecības projektu atbilstoši šo noteikumu projekta 105. punktā noteiktajai kārtībai un ar grozījumiem noslēgtajā līgumā par projekta īstenošanu iekļaut izvērtētos pētniecības projektus finansējuma saņēmēja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Investīcijas ietvaros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 jāsasniedz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7.punktā ir ietverti mērķrādītāji, uzraudzības rādītāji, kopējie rādītāji, katram rādītājam ir noteikts konkrēts sasniegšanas termiņš, līdz kuram tas ir jāsasniedz, līdz ar to lūdzam svītrot noteikumu projekta 79.punktu.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noteikt, ka finansējuma saņēmējam noslēguma maksājuma pieprasījums jāiesniedz līdz 2026.gada 30.jūnijam.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Ja finansējuma saņēmējs noslēdz līgumu ar sadarbības partneri līdz 2025.gada 1.janvārim, tad izmaksas var attiecināt līdz 2027.gada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noteikumu projekta 80. un 81.punktā noteikto izdevumu attiecināmības termiņu (2027.gada 31.decembris) </w:t>
            </w:r>
            <w:r w:rsidR="00000000" w:rsidRPr="00000000" w:rsidDel="00000000">
              <w:rPr>
                <w:rtl w:val="0"/>
              </w:rPr>
              <w:t xml:space="preserve">šobrīd notiek konsultācijas ar Eiropas Komisiju, pēc atbildes saņemšanas informēsim Ekonomikas ministriju</w:t>
            </w:r>
            <w:r w:rsidR="00000000" w:rsidRPr="00000000" w:rsidDel="00000000">
              <w:rPr>
                <w:rtl w:val="0"/>
              </w:rPr>
              <w:t xml:space="preserve">. Šobrīd investīcijas attiecināmības termiņš ir noteikts Padomes īstenošanas lēmuma par Latvijas atveseļošanas un noturības plāna novērtējuma apstiprināšanu B1 sadaļā (līdz 2026. gada 30. 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83.1.3. īstenot apstiprināto projektu kā stratēģiski svarīgu projektu, ne retāk kā reizi sešos mēnešos ievietojot aktuālo informāciju par projekta īstenošanas gaitu savā tīmekļvietnē, nodrošinot informācijas un publicitātes pasākumus saskaņā ar Regulas Nr. 2021/241 34. pantu un Eiropas Komisijas un Latvijas Republikas Atveseļošanas fonda finansēšanas nolīguma 10. pantu un “Eiropas Savienības fondu 2021.–2027. gada plānošanas perioda un Atveseļošanas fonda komunikācijas un dizaina vadlīniju” 3. nodaļu “Atveseļošanas fonda prasības”, nodrošinot ne mazāk kā vienu informatīvu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iekļaut informāciju, par kādiem komunikācijas pasākumiem finansējuma saņēmējam ir jāinformē nozares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83.1.11. izvērtēt projekta ilgtspēju, projekta īstenošanai nepieciešamo līdzfinansējumu, nodrošinājuma pietiekamību, esošo un nākotnes finanšu situāciju, zināšanu un pieredzes atbilstību projektā paredzēto darbību veiksmīgai īstenošanai, kā arī eko-inovatīvu produktu, pakalpojumu un tehnoloģiju ieviešanas iespēju;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projekta ilgtspējas vērtēšanu, lūdzam noteikumu projektā ietvert normu, ka uzturēšanas izmaksu segšanai nevar izmantot AF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vai te ir domāts pētniecības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83.2.7. iesniegt Vadības informācijas sistēmā līguma kopiju par pētniecības projekta apstiprināšanu, kas noslēgts starp finansējuma saņēmēju un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termiņu līguma kopijas par pētniecības projekta apstiprināšanu iesniegšanai Vadības informācijas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83.2.9. pārbaudīt un novērst interešu konfliktu, korupciju un krāpšanu pirms pētniecības projektu vērtēšanas komisijas sēdes, kurā tiks izskatīti pētniecības projekti. Visu projekta īstenošanas laiku nodrošināt pārbaužu dokumentēšanu un apliecinājuma par interešu konflikta nepieļaušanu parakstīšanu pirms pētniecības projektu vērtēšanas komisijas sēdes, ja nepieciešams, novēršot vai labojot identificētos riskus vai konstatēto interešu konfliktu;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apakšpunkta pirmo teikumu šādā redakcijā: </w:t>
            </w:r>
            <w:r w:rsidR="00000000" w:rsidRPr="00000000" w:rsidDel="00000000">
              <w:rPr>
                <w:i w:val="1"/>
                <w:rtl w:val="0"/>
              </w:rPr>
              <w:t xml:space="preserve">"pārbaudīt un novērst interešu konfliktu, korupciju un krāpšanu pētniecības projektu vērtēšanā.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Finansējuma saņēmējs starpposma maksājumus var saņemt tad, ja ir sasniegti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7.punktā ir noteikti investīcijas kopējie sasniedzamie rādītāji. Lūdzam izvērtēt šī punkta nepieciešamību. Iespējams, ka mērķis šim punktam ir sasaiste ar noteikumu projekta 83.2.17. punktu, kur noteikts sasniedzamais rādītājs katra projekta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Finansējuma saņēmējs aģentūrā iesniedz progresa pārskata iesniegšanas maksājuma grafiku, kas ir sadalīts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noteiktajiem rādītājiem. Finansējuma saņēmējs progresa pārskata iesniegšanas maksājuma grafiku sastāda ik pa 3 mēnešiem un iesniedz izskatīšanai aģentūrai. Aģentūra pēc progresa pārskata iesniegšanas maksājuma grafika izskatīšanas veic maksājumu finansējuma saņēmējam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jo Aģentūra neveic maksājumus pēc izskatītajiem plānoto maksājumu pieprasījumu iesniegšanas grafikiem, bet gan pēc izskatītajiem un apstiprināmajiem maksājumu pieprasījumiem. Papildus, ņemot vērā, ka noteikumu projekta 7. punktā norādītajiem rādītājiem nav sasniedzamo vērtību, izņemot investīcijas mērķi un uzraudzības rādītājus, lūdzam skaidrot maksājumu pieprasījumu iesniegšanas grafiku sasaisti ar noteikumu projekta 7. punktu. Iespējams šo noteikumu projekta punktu varētu sasaistīt ar noteikumu projekta 83.2.17.apakšpunktu.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MKN izmantot vienādu terminoloģiju  -"maksājuma pieprasījums" vai "progresa pārskats";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Pētniecības projektu var uzsākt pēc pētniecības projekta iesnieguma iesniegšanas Vadības informācijas sistēmā, sadarbības partnerim uzņemoties risku visas radušās izmaksas segt no saviem līdzekļiem, ja aģentūra pieņem lēmumu par pētniecības projekta neatbilstību komercdarbības atbalsta nosacījumiem vai konstatē neatbilstības pētniecības projektu vērtēšanas procesā, t.sk. neievērojot interešu konflikta novēršanas, caurspīdīguma un vienlīdzības principu, vienlaikus nenovēršot un nelabojot dubultā finansējuma iestāšanās, krāpšanas un korupcijas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dot atsauci uz izņēmumu šo noteikumu 139. un 140. punktā minēto atbalstu apvienošanas gadījumā, jo tajos gadījumos projektu var uzsākt pēc pieteikumu iesniegšanas visos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105.2. vai pēc pēdējiem Valsts ieņēmumu dienesta publicētiem pārskatiem, kas nepārsniedz vienu kalendāro mēnesi,  ir Valsts ieņēmumu dienesta administrēto nodokļu parāds,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VID informācija tiek publicēta ar 2 darba dienu nobīdi, priekšlikums ir neiekļaut tekstā teikuma daļu: "..., kas nepārsniedz vienu kalendāro mēnesi,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2023.gada 30.jūnijā stājās spēkā likums "Grozījumi likumā "Par nodokļiem un nodevām"", ar kuru grozīta likuma "Par nodokļiem un nodevām" 18.panta pirmās daļas 8.punkta redakcija, nosakot, ka par nodokļu parādu neuzskata arī tādus nodokļu maksājumus, attiecībā uz kuriem ir noslēgts vienošanās līgums saskaņā ar šā likuma 41. pantu. Ņemot vērā minēto noteikumu projekta 105.2. apakšpunkts ir precizējams, jo tajā nav minēta atsauce uz likuma “Par Nodokļiem un nodevām” 41.punktu.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105.2.apakšpunktu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105.2. vai pētniecības projekta iesniedzējam, uz lēmuma par atbalsta pieņemšanas brīdi, saskaņā ar Valsts ieņēmumu dienesta administrēto nodokļu parādnieku datubāzē pieejamo informāciju, nav Valsts ieņēmumu dienesta administrēto nodokļu parāda,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1.3 un 1.7 daļu ir pagarināts, sadalīts termiņos, atlikts vai atkārtoti sadalīts termiņos vai attiecībā uz kuriem ir noslēgts vienošanās līgums saskaņā ar šā likuma 41.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Pēc nozares ministrijas priekšlikuma, pētniecības projektu vērtēšanā iesaista starptautiskos vai vietējos ekspertus. Ja tiek slēgts līgums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noteiktais izņēmums no iepirkuma procedūru piemērošanas. Par eksperta piesaisti pētniecības projekta vērtēšanai lemj finansējuma saņēmējs. Pēc eksperta vērtējuma saņemšanas, eksperta vērtējums tiek pievienots pētniecības projektu vērtēšanas komisijas veiktajiem vērtējumiem un finansējuma saņēmējs pētniecības projekta vērtējumus iesniedz aģentūrā, kura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pētniecības projektiem piešķiramā atbalsta intensitāte atšķiras atkarībā no pētniecības projektā ietverto darbību veida (rūpnieciskie pētījumi / eksperimentālā izstrāde / tehniski ekonomiskā priekšizpēte), tādējādi neatņemams ir detalizēts izvērtējums par projekta darbību atbilstību konkrētai pētniecības kategorijai, lūdzam noteikumu projektā paredzēt, ka zinātnisko ekspertu datubāzē reģistrētu ekspertu piesaiste ir obligāta vai anotācijā skaidrot, kā iespējams nodrošināt kvalitatīvu izvērtējumu par piederību noteiktai pētniecības kategorijai bez zinātnisko ekspertu iesaistes.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Pārkāpumu konstatēšanas un novēršanas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veicot korektīvās darbības, kas ir noteiktas noteikumu projekta VIII nodaļā, ir jāveic arī atbilstošas rādītāju korekcijas.</w:t>
            </w:r>
            <w:r w:rsidR="00000000" w:rsidRPr="00000000" w:rsidDel="00000000">
              <w:rPr>
                <w:rtl w:val="0"/>
              </w:rPr>
              <w:t xml:space="preserve">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Pētniecības projektu vērtēšanas komisijas locekļi, eksperti un finansējuma saņēmēja darbinieki, kas iesaistīti pētniecības projektu vērtēšanas procesā, paraksta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esošo objektivitātes, konfidencialitātes un interešu konflikta neesības apliecinājumu, ka nepiedalīsies pētniecības projekta izvērtēšanā interešu konflikta situācijā un pētniecības projektu vērtēšanas komisijas sēdēs, kurās tiks apstiprināti saistītu pētniecības projektu rezultāti. Apliecinājumu paraksta pirms Atveseļošanas fonda finansējuma pētniecības projektu izskatīšanas, starpposma un gala nodevumu vērtēšanas. Apliecinājumu finansējuma saņēmējs glabā atbilstoši Komisijas Regulas Nr. 2018/1046 132. pantam un šo noteikumu </w:t>
            </w:r>
            <w:r w:rsidR="00000000" w:rsidRPr="00000000" w:rsidDel="00000000">
              <w:rPr>
                <w:rtl w:val="0"/>
              </w:rPr>
              <w:t xml:space="preserve">125.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arī sadarbības partneris attiecībā uz pētniecības projekta īstenošanu paraksta apliecinājumu par interešu konflikta neesamību.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Atbilstoši Komisijas regulas Nr. 651/2014 12. pantam un Komisijas Regulas Nr. 1407/2013 6. panta 4. punktam informācijas pieejamība tiek nodrošināta šādā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125.punkta apakšpunktus, nosakot, ka finansējuma saņēmējam, sadarbības partnerim un aģentūrai jānodrošina ne tikai informācijas pieejamība, bet arī dokumentu glabāšana.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Sadarbības partneriem finansējumu investīcijas ietvaros sniedz saskaņā ar Komisijas regulas Nr. 651/2014 25. panta 2. punkta "b", "c" un "d" apakšpunktiem un 3. punktu un finansējuma saņēmējs sadarbības partneriem finansējumu izmaksā pēc aģentūras lēmuma par atbilstību komercdarbības atbalsta nosacījumiem pieņemšanas. Aģentūra izvērtē atbilstību komercdarbības atbalsta nosacījumiem pēc finansējuma saņēmēja iesniegtā  atbalstīto pētniecības projektu saraksta kopā ar pētniecības projekta iesniegumiem un pamatojošajiem dokumentiem. Pētniecības projekta ietvaros tiek ņemti vērā atbalsta stimulējošās ietekmes nosacījumi un izmaksas ir attiecināmas atbilstoši Komisijas regulas Nr. 651/2014 6.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sasaisti ar šo noteikumu ietvaros iekļautajām atbalsta kumulācijas (apvienošanas) normām, kad ir vairāki lēmumi par projekta īstenošanu. Vienlaikus Lūdzam papildināt normu, ka projekta iesniegums aptver Komisijas regulas Nr. 651/2014 6. 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Pēc sadarbības partneru pētniecības projektu iesniegumu saņemšanas, finansējuma saņēmējs izvērtē saņemto pētniecības projektu izmaksu tāmi un izmaksu pamatotību un atbilstību pētniecības projektam un iesniedz pētniecības projektu iesniegumus pētniecības projektu vērtēšanas komisijai. Pētniecības projektu vērtēšanas komisija izvērtē iesniegtā sadarbības partnera pētniecības projekta iesnieguma atbilstību šo noteikumu prasībām, kā arī izvērtē pētniecības projekta apraksta veidlapu. Finansējuma saņēmējs vērtē deklarāciju par komercsabiedrības atbilstību mazajai (sīkajai), vidējai vai lielai komercsabiedrībai.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noteikumus papildināt nosacījumu, ka sadarbības iestāde vērtē komercsabiedrības atbilstību mazajai (sīkajai), vidējai vai lielai komercsabiedrībai uz komercdarbības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Ja investīcijas ietvaros tiek pārkāptas šajos noteikumos noteiktās komercdarbības atbalsta kontroles normas, tostarp nosacījumi, kas izriet no Komisijas Regulas Nr. 1407/2013 prasības, finansējuma saņēmējam ir pienākums atmaksāt aģentūrai visu projekta ietvaros saņemto </w:t>
            </w:r>
            <w:r w:rsidR="00000000" w:rsidRPr="00000000" w:rsidDel="00000000">
              <w:rPr>
                <w:i w:val="1"/>
                <w:rtl w:val="0"/>
              </w:rPr>
              <w:t xml:space="preserve">de minimis</w:t>
            </w:r>
            <w:r w:rsidR="00000000" w:rsidRPr="00000000" w:rsidDel="00000000">
              <w:rPr>
                <w:rtl w:val="0"/>
              </w:rPr>
              <w:t xml:space="preserve"> atbalstu no līdzekļiem, kas ir brīvi no komercdarbības atbalsta, kopā ar procentiem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veicamajām darbībām gadījumos, kad tiek konstatēts nelikumīgs komercdarbības atbalsts, lūdzam šo noteikumu 148.punktu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arī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Ja tiek pārkāpti Komisijas regulas Nr. 1407/2013 nosacījumi, finansējuma saņēmējam ir pienākums atmaksāt aģentūrai visu projekta ietvaros saņemto nelikumīgo de minimis atbalstu no līdzekļiem, kas ir brīvi no komercdarbības atbalsta, kopā ar procentiem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Ja attiecībā uz sadarbības partnerim piešķirto atbalstu tiek pārkāptas šajos noteikumos noteiktās komercdarbības atbalsta kontroles normas, tostarp nosacījumi, kas izriet no Komisijas regulas Nr. 651/2014,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Procenti ir aprēķināmi no dienas, kad nelikumīgais komercdarbības atbalsts pirmo reizi nodots sadarbības partnerim, līdz tā atgūšanas dienai. Finansējuma saņēmējam ir tiesības no sadarbības partnera saņemt kompensāciju atmaksātā nelikumīgā komercdarbības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veicamajām darbībām gadījumos, kad tiek konstatēts nelikumīgs komercdarbības atbalsts, lūdzam šo noteikumu 149.punktu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arī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Ja, attiecībā uz sadarbības partnerim piešķirto atbalstu, tiek pārkāpti Komisijas regulas Nr. 651/2014 nosacījumi,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Procenti ir aprēķināmi no dienas, kad nelikumīgais komercdarbības atbalsts pirmo reizi nodots sadarbības partnerim, līdz tā atgūšanas dienai. Finansējuma saņēmējam ir tiesības no sadarbības partnera saņemt kompensāciju atmaksātā nelikumīgā komercdarbības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projektu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Apliecinājuma 5.punktā ir norādīts, ka pētniecības projekta iesniedzējs apliecina, ka pētniecības projektā iekļautās aktivitātes netiek īstenotas citos Atveseļošanas fonda vai Eiropas Savienības fondu līdzfinansētos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dubultais finansējums var rasties arī valsts budžeta vai pašvaldību līdzfinansējuma gadījumā. Lūdzam atbilstoši precizēt minēto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sniegtu visaptverošus komentārus par noteikumu projekta pielikumā ietverto kritēriju kopu, lūdzam iesniegt izskatīšanai arī kritēriju piemērošanas metodikas melnrakstu. Par atsevišķiem kritērijiem ir neiespējami sniegt viedokli, nezinot vērtēšanas tvērumu,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apgrozījuma un eksporta datu vērtējumā izmantojamajiem datiem gadījumā, ja projekta iesniedzējs ir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atbilstību kritērijam par balsstiesību īpatsvaru gadījumā, ja projekta iesniedzējs ir biedrība, un to biedru saraksti nav publiski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projekta vadības pieredzes noteikšanas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vispārīgo atbilstības kritēriju Nr. 2.1.1., izsakot to šādā redakcijā: "Projekta iesniedzējs ir iesniedzis vienu projekta iesniegumu". Vēršam uzmanību, ka attiecībā uz atbalsta vēstules esamību līdzvērtīga satura vērtējums paredzēts arī kritērijā Nr. 2.2.4.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2.2.6. kritērija 1.5. punktā ietvertie vērtējamie aspekti pārklājas ar 2.2.1. kritērija vērtējumu. Lūdzam atteikties no prasības papildus projekta iesniegumam uzrādīt šo informāciju arī darbības plānā vai dzēst kritēriju Nr. 2.2.1.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risku novērtējums ir obligāta projekta iesnieguma sastāvdaļa, tādēļ lūdzam 2.2.6. kritērija ietvaros atteikties no prasības papildus projekta iesniegumam uzrādīt šo informāciju arī darbības plānā (kritērija 1.6. apakšpunkts), vienlaikus paredzot atsevišķu kritēriju risku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Vēršam uzmanību, ka 2.2.6. kritērija 1.7. punktā ietvertie vērtējamie aspekti pārklājas ar 2.2.7. kritērija vērtējumu. Lūdzam dzēst kritēriju Nr. 2.2.7.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izvērtēt, vai šī kvalitātes kritēriju Nr.1. un Nr. 2 kontekstā skatāms tikai projekta iesniedzējs un tā dibinātāji (tātad biedrību gadījumā), bet ne kapitāldaļu turētāji vai citas projekta iesniedzēja apvienotās personas. Vēršam uzmanību, ka saskaņā ar Lursoft sagatavotās gada pārskatu statistikas datiem 2022. gadā, piemēram, tikai četrām komercsabiedrībām (trīs no tām - SIA) apgrozījums pārsniedza 1 mljrd. EUR, līdz ar ko potenciāli atbilstošo personu loks ir neliels.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tiks nodrošināta demarkācija (2.2.1.3i investīcijas fokuss/atbalstāmo darbību nepārklāšanās) ar citiem līdzīgiem atbalsta instrumentiem, tādiem kā 5.1.1.2.i. investīcijas "Atbalsta instruments inovāciju klasteru attīstībai īstenošanas noteikumi kompetences centru ietvaros” otrā kārta, 1.2.1.2.i.2. pasākums "Inovatīvu produktu un tehnoloģiju izstrāde" 1.2.1.1. pasākuma “Atbalsts jaunu produktu attīstībai un internacionalizācijai” trešo kārtu un citiem atbalsta instrumentiem.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Digitālās dimensijas intervences kodu (5 - 010 - MVU digitalizācija (ieskaitot e-komerciju, e-komercdarbību un tīklā savienotus uzņēmējdarbības procesus, digitālās inovācijas centrus, dzīves laboratorijas, tīmekļa uzņēmējus un jaunizveidotus IKT uzņēmumus, B2B) 100%) atbilstoši AF plāna 2.pielikumā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49.2.apakšpunkta izvērtējumu pret Komisijas regulu Nr.651/2014, ņemot vērā to, ka tas paredz stingrākas prasības, jo Komisijas regulas Nr.651/2014 13.pantā minētais nozaru un darbību ierobežojums ir attiecināms reģionālā atbalsta gadījumā, t.i., ja atbalstu piešķir saskaņā ar Komisijas regulas Nr.651/2014 14.panta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87. punktā minēto, kurā ir noteiktas tiesības pieprasīt un saņemt datus uzraudzības vajadzībām, kas attiecīgi var ietvert arī personas datu apstrādi, lūdzam atbilstoši papildināt anotācijas 8.1.13. apakšsadaļu.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projekta iesniedzējam un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arī ar finansējuma saņēmēju, atbilstoši noteikumu projekta saturam.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sadarbības pētniecības projekts – divu vai vairāku vienas un tās pašas nozares vai divu vai vairāku dažādu starpnozaru (ar dažādiem saimnieciskās darbības statistiskās klasifikācijas kodiem) saimnieciskās darbības veicēju dalīšanās vai apmaiņa ar informāciju, resursiem, tehnoloģijām, metodēm, lai kopīgi izstrādātu jaunu produktu vai pakalpojumu, kur, atsevišķi darbojoties, nevar sasniegt vēlamo rezultātu;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analoģiski kā noteikumu projekta 2.6. apakšpunktā papildināt ar informāciju, kur tiek iesniegts šis projekts, un kas to vērtē/pieņem lēmumu.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Atveseļošanas fonda investīcijas ietvaros kopējais pieejamais finansējums ir 24 300 000 </w:t>
            </w:r>
            <w:r w:rsidR="00000000" w:rsidRPr="00000000" w:rsidDel="00000000">
              <w:rPr>
                <w:i w:val="1"/>
                <w:rtl w:val="0"/>
              </w:rPr>
              <w:t xml:space="preserve">euro </w:t>
            </w:r>
            <w:r w:rsidR="00000000" w:rsidRPr="00000000" w:rsidDel="00000000">
              <w:rPr>
                <w:rtl w:val="0"/>
              </w:rPr>
              <w:t xml:space="preserve">nozaru un starpnozaru sadarbības pētniecības projektu īstenošanai investīcijas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vārdus "Atveseļošanas fonda" pirms vārda "finansējums". Kā arī lūdzam svītrot vārdus "investīcijas ietvaros" punkta beigās, jo dublējas.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ietvaros sasniedzamie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ANM plāna grozījumu projekts vēl nav apstiprināts no Eiropas Komisijas puses, līdz ar to sarunu procedūru laikā noteikumu projekta 7.punkā noteiktie atskaites punkti un mērķrādītāji vēl var tikt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 privātās investīcijas, kas papildina valsts atbalstu inovācijām vai pētniecības un izstrādes projektiem,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"izstrādes projekti". Vēršam uzmanību, ka šāds projektu veids nav atrunāts terminoloģijā.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Investīcijas ietvaros komercdarbības atbalsts tiek sniegts granta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"komercdarbības", nosakot, ka investīcijas ietvaros atbalsts tiek sniegts granta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Investīcijas ietvaros līgums par projekta īstenošanu tiek slēgts starp aģentūru un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17.punktu, ņemot vērā, ka regulējums dublē noteikumu projekta 2.4.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Investīcijas īstenošanas veids ir atklāta projektu iesniegumu atlase.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vērš uzmanību, ka šobrīd 2.2.1.3.i investīcijas īstenošanas noteikumos noteiktās prasības projekta iesniedzējam liecina, ka iesniedzēji plānoti tie paši kompetences centri, kas ir finansējuma saņēmēji 5.1.1.2.i. investīcijas kārtā “Atbalsta instruments inovāciju klasteru attīstībai kompetences centru ietvaros", tādējādi iesniedzēju loks ir zināms. Turklāt, atbilstoši pieejamam finansējumam un viena projekta iesnieguma maksimālajam finansējumam, ir pietiekams finansējums 8 kompetences centriem, kā rezultātā faktiski nav iespējama konkurence uz pieejamo finansējumu. Ņemot vērā iepriekš minēto, lūdzam izvērtēt un piemērot vienu no šiem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 ierobežotu projektu iesniegumu atlasi, 2.2.1.3.i investīcijā "Atbalsts jaunu produktu un pakalpojumu ieviešanai uzņēmējdarbībā" kā projektu iesniedzējus nosakot 5.1.1.2.i. investīcijas kārtas “Atbalsta instruments inovāciju klasteru attīstībai kompetences centru ietvaros" finansējuma saņēmējus (kas vienlaikus ir ES fondu 2014.-2020. gada plānošanas perioda 1.2.1.1. pasākuma "Atbalsts jaunu produktu un tehnoloģiju izstrādei kompetences centru ietvaros" finansējuma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pārskatīt un atvieglot projekta iesniedzējam noteiktās prasības, nodrošinot iespēju arī citām personām piedalīties konkursā par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darbības plānu, kas tiek izstrādāts ņemot vērā viedās specializācijas stratēģijā noteiktos mērķus un pētniecības virzienus, atbilstoši šo noteikumu </w:t>
            </w:r>
            <w:r w:rsidR="00000000" w:rsidRPr="00000000" w:rsidDel="00000000">
              <w:rPr>
                <w:rtl w:val="0"/>
              </w:rPr>
              <w:t xml:space="preserve">2.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pielikumā esošā darbības plāna forma ir identiska formai, kas projekta iesniedzējam jāiesniedz 5.1.1.2.i "Atbalsta instruments inovāciju klasteru attīstībai" otrās kārtas un  1.2.1.2.i.2. pasākuma "Inovatīvu produktu un tehnoloģiju izstrāde" projektu iesniegumu atlasē. Ņemot vērā, ka vairākums projektu iesniedzēju visās investīcijās būs vienas un tās pašas personas, aicinām mazināt administratīvo slogu iesniedzējiem un noteikt, ka darbības plāns jāiesniedz tikai gadījumā, ja darbības plāns jau nav iesniegts 5.1.1.2.i investīcijas "Atbalsta instruments inovāciju klasteru attīstībai" otrās kārtas vai  1.2.1.2.i.2. pasākuma "Inovatīvu produktu un tehnoloģiju izstrāde" projektu iesniegumu atlasē.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pētniecības projektu vērtēšanas kritērijus, ar kuriem finansējuma saņēmējs vērtē pētniecības projektu iesniegumus, atbilstoši šo noteikumu </w:t>
            </w:r>
            <w:r w:rsidR="00000000" w:rsidRPr="00000000" w:rsidDel="00000000">
              <w:rPr>
                <w:rtl w:val="0"/>
              </w:rPr>
              <w:t xml:space="preserve">83.2.16. </w:t>
            </w:r>
            <w:r w:rsidR="00000000" w:rsidRPr="00000000" w:rsidDel="00000000">
              <w:rPr>
                <w:rtl w:val="0"/>
              </w:rPr>
              <w:t xml:space="preserve">apakšpunktā</w:t>
            </w:r>
            <w:r w:rsidR="00000000" w:rsidRPr="00000000" w:rsidDel="00000000">
              <w:rPr>
                <w:rtl w:val="0"/>
              </w:rPr>
              <w:t xml:space="preserve">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noteikumu projekta 21.2. apakšpunktu ar sadarbības pētniecības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Projektu iesniegumu vērtēšanas komisija projektu iesniegumu vērtēšanas termiņā saņemtos projektu iesniegumus atlasa atbilstoši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iekļautajiem projektu iesniegumu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24. punktu, norādot, ka projektu iesniegumu vērtēšanu sāk pēc projektu iesniegumu iesniegšanas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komisija pēc projektu iesniegumu iesniegšanas termiņa beigām projektu iesniegumu iesniegšanas termiņā saņemtos projektu iesniegumus atlasa atbilstoši šo noteikumu 3. pielikumā iekļautajiem projektu iesniegumu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24.3.2. vienāda kopējā punktu skaita gadījumā priekšroku dod projektam, kas ieguvis lielāko punktu skaitu sekojošajos kritērijos: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vienāda punktu skaita gadījumā projektu iesniegumu rindošanu veikt, ņemot vērā attiecīgo rādītāju (apgrozījuma, eksporta apjoma) absolūtās vērtības, nevis atbilstošo punktu skaitu. Vēršam uzmanību, ka saskaņā ar noteikumu projekta pielikumā pievienotajiem kritērijiem punktu skaits būs vienāds gan projekta iesniedzējam, kura apgrozījums ir 550 mlj., gan iesniedzējam, kura apgrozījums ir 900 mlj., kas tādējādi radītu nepieciešamību pēc papildu rindošanas pazīmēm.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Līgumslēgšanas procesu uzsākt ne vēlāk kā 30 darba dienu laikā pēc atzinuma par nosacījumu izpildi izdošanas vai lēmuma pieņemšanas par projekta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Līgumslēgšanas procesu uzsākt ne vēlāk kā 30 darba dienu laikā pēc atzinuma par lēmumā ietverto nosacījumu izpildi vai lēmuma pieņemšanas par projekta iesnieguma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minētais finansējums netiek sadalīts šo noteikumu </w:t>
            </w:r>
            <w:r w:rsidR="00000000" w:rsidRPr="00000000" w:rsidDel="00000000">
              <w:rPr>
                <w:rtl w:val="0"/>
              </w:rPr>
              <w:t xml:space="preserve">19. </w:t>
            </w:r>
            <w:r w:rsidR="00000000" w:rsidRPr="00000000" w:rsidDel="00000000">
              <w:rPr>
                <w:rtl w:val="0"/>
              </w:rPr>
              <w:t xml:space="preserve">punkta</w:t>
            </w:r>
            <w:r w:rsidR="00000000" w:rsidRPr="00000000" w:rsidDel="00000000">
              <w:rPr>
                <w:rtl w:val="0"/>
              </w:rPr>
              <w:t xml:space="preserve"> minētā konkrētā atklātā uzsaukuma ietvaros, tad aģentūra veido jaunu atklātu konkursa uzsaukumu par atlikušo finansējumu atbilstoši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 punktu, norādot, ka nozares ministrija, izvērtējot lietderību, var rosināt jauna uzsaukuma organizēšanu. Vēršam uzmanību, ka atsevišķos gadījumos jauna uzsaukuma organizēšana nav samērīga, tostarp gadījumos, ja atlikušais finansējums ir neliels un nepārprotami nepietiekams cita 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tā vadības līmenī ir ne mazāk kā piecu gadu pieredze inovācijas projektu īstenošanā un uzraudzībā saistībā ar komercdarbības atbalsta normu ievērošanu, kur kopējā summa sastāda vismaz 2 500 000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precizēt, no kā tiek rēķināta kopējā summa.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iesniedzējs viena atklāta uzsaukuma ietvaros var iesniegt vienu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pastāv iespēja, ka investīcijas ietvaros viens projekta iesniedzējs vairāku uzsaukumu ietvaros var iesniegt vairākus projektu iesniegumus.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Pētniecības projekta veikšanai nepieciešamo privāto līdzfinansējumu nevar ieguldīt natūrā.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projekta 74.punktu pārcelt aiz 39.punkta, lai veidotos secīgs regulējums un sapratne, ka valdījumā vai īpašumā esošā manta un intelektuālais īpašums nevar tikt izmantots kā ieguldījums natūrā un attiecīgi tas netiks izmantots kā projekta līdzfinansējums.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75.12. izskatīt sadarbības partnera pārsūdzības par pētniecības projekta neatbilstību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vārda "neatbilstību" vietā izmantot vārdus "korektīvo darbību" atbilstoši kā AF koordinējošās iestādes izstrādātajam skaidrojumam “Skaidrojumi par pārkāpumu konstatēšanu, ziņošanu un atgūšanu Atveseļošanas fonda plāna īstenošanā” (pieejams te: https://old.esfondi.lv/upload/anm/skaidrojumi_par_af_parkapumiem.pdf).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noteikumu projekta 96.punktu.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76.3. ieviest principu – konsultē vispirms. Nodrošināt tādu procesu, kurā starp aģentūru un finansējuma saņēmēju un sadarbības partneri pastāv un tiek attīstīts drošs, uzticams un labticīgs konsultāciju un informācijas apmaiņas process, kura mērķis ir sekmēt labāku inovāciju projektu īstenošanas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šis un citi uzskaitītie uzdevumi atbilst noteikumu projekta tvērumam un mērķim. Labas sadarbības un konsultāciju pieejamības princips atbilst Centrālās finanšu un līgumu aģentūras izvirzītajai stratēģijai sadarbībā ar klientiem, līdz ar to nav nepieciešams atrunāt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83.1.3. īstenot apstiprināto projektu kā stratēģiski svarīgu projektu, ne retāk kā reizi sešos mēnešos ievietojot aktuālo informāciju par projekta īstenošanas gaitu savā tīmekļvietnē, nodrošinot informācijas un publicitātes pasākumus saskaņā ar Regulas Nr. 2021/241 34. pantu un Eiropas Komisijas un Latvijas Republikas Atveseļošanas fonda finansēšanas nolīguma 10. pantu un “Eiropas Savienības fondu 2021.–2027. gada plānošanas perioda un Atveseļošanas fonda komunikācijas un dizaina vadlīniju” 3. nodaļu “Atveseļošanas fonda prasības”, nodrošinot ne mazāk kā vienu informatīvu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visi Kompetences centru projekti tiks uzskatīti par stratēģiski svarīgiem projektiem investīcijas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83.2.15. ne vēlāk kā mēnesi pēc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 līguma parakstīšanas, bet ne vēlāk kā līdz pirmajam maksājuma pieprasījumam, iesniegt Aģentūrai iekšējās kontroles sistēmu korupcijas un interešu konflikta riska novēršanai, ietverot tajā: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78.2.15.apakšpunkta ievaddaļu šādā redakcijā:</w:t>
            </w:r>
            <w:r w:rsidR="00000000" w:rsidRPr="00000000" w:rsidDel="00000000">
              <w:rPr>
                <w:i w:val="1"/>
                <w:rtl w:val="0"/>
              </w:rPr>
              <w:t xml:space="preserve"> "ne vēlāk kā mēnesi pēc šo noteikumu 13.punktā minētā līguma parakstīšanas, bet ne vēlāk kā līdz pirmajam maksājuma pieprasījumam, iesniegt Aģentūrai iekšējās kontroles sistēmas aprakstu korupcijas un interešu konflikta novēršanai, ietverot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83.2.15.8. kārtību, kā darbiniekiem ir jārīkojas gadījumā, ja tie vēlas ziņot par iespējamiem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punkta papildināšanu ar šādu apakšpunktu: "83</w:t>
            </w:r>
            <w:r w:rsidR="00000000" w:rsidRPr="00000000" w:rsidDel="00000000">
              <w:rPr>
                <w:i w:val="1"/>
                <w:rtl w:val="0"/>
              </w:rPr>
              <w:t xml:space="preserve">.2.15.9. kārtību, kādā piemērojama disciplināratbildība."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84.8. tiesības apstrīdēt finansējuma saņēmēja apkopoto atbalstīto un noraidīto pētniecības projektu sarakstu ar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pārsūdzēt,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precizēt teikuma daļu "sadarbības partneris var iesniegt rakstisku pretenziju nozares ministrijā mēneša laikā no pretenzijas noraidījuma saņemšanas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Projekta īstenošanas laikā finansējuma saņēmējs var saņemt ātrāku maksājumu bez bankas garantijas līdz 75 procentiem no aģentūrai iesniegtā maksājuma pieprasījuma, pirms aģentūra ir pabeigusi attiecīgā maksājuma pieprasījuma izvērtēšanu. Ātrāka maksājuma apjomu aģentūra nosaka, izvērtējot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91.p. un izteikt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finansējuma saņēmējs var saņemt ātrāku maksājumu bez bankas garantijas līdz 75 procentiem no aģentūrai iesniegtā maksājuma pieprasījuma, pirms aģentūra ir pabeigusi attiecīgā maksājuma pieprasījuma izvērtēšanu. Ātrāka maksājuma apjomu aģentūra nosaka, izvērtējot projekta risku, tai skaitā ņemot vērā statistiku par to, kāda daļa no finansējuma saņēmēja iepriekš iesniegtajiem maksājuma pieprasījumiem pēc aģentūras veiktajām pārbaudēm tika atzīta par atbilstošu un attiecīgi veikta izmaksa."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Leicane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Nozares ministrija ievieto tīmekļvietnē finansējuma saņēmēja kontaktinformāciju un norāda finansējuma saņēmēja pētniecības virzienus.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kādā termiņā nozares ministrijai jāievieto savā tīmekļa vietnē finansējuma saņēmēja kontaktinformāciju.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Šo noteikumu ietvaros gan projekta, gan pētniecības projekta līmenī var iesaistīties juridiska persona - ārvalstu komersanta filiāle, kas ir reģistrēta un veic saimniecisko darbību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šīs normas būtību. No šobrīd esošās redakcijas nav skaidrs kas tā ir par juridisku personu, kas var iesaistīties gan projektā, gan pētniecības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Pētniecības projektu vērtēšanas komisija, projekta rezultātu sasniegšanā konstatējot riskus, kas saistīti ar neapgūto finansējumu vai neīstenotām plānotajām aktivitātēm, izvērtē nepieciešamību un iesaka finansējuma saņēmējiem ārējo ekspertu iesaisti, lai pirms pētniecības projektu noslēguma maksājuma veikšanas izvērtētu pētniecības projektu rezultātus un pārliecinātos, ka veiktie ieguldījumi ir bijuši lietderīgi un pamatoti. Ekspertu vērtējuma kopiju nosūta arī aģentūrai. Ja ekspertu vērtējums ir negatīvs vai satur ieteikumus, ekspertu sagatavoto atzinumu nosūta sadarbības partnerim. Sadarbības partneris piecu darbdienu laikā pēc saņemtā finansējuma saņēmēja rakstiskā pieprasījuma sagatavo skaidrojumu par atzinumā norādītajām neatbilstībām un iesniedz finansējuma saņēmējam. Ja skaidrojums nav saņemts piecu darbdienu laikā vai pēc iepazīšanās ar skaidrojumu atkārtotais eksperta vērtējums ir negatīvs, aģentūra finansējuma saņēmējam lūdz atmaksāt visu pētniecības projektā ieguldīto publiskā finansējuma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"neapgūto" aizstāt ar vārdu "neieguldīto".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Strīdi, kas rodas projekta īstenošanas laikā pēc līguma noslēgšanas, tiek risināti civiltiesiskā kārtībā. Vispirms finansējuma saņēmējs iesniedz pretenziju aģentūrā. Ja domstarpības neizdodas atrisināt sarunu ceļā, finansējuma saņēmējs var celt prasību pret aģentūru vispārējās jurisdikcijas tiesā. Pretenziju izskatīšanas kārtība, kas radusies aģentūrai, atrunāta līgumā par projekta īstenošanu, kas noslēgts starp aģentūru un finanšu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nepieciešams noteikumu projektā iekļaut normu par strīdu, kas izriet no civiltiesiskā līguma par projekta īstenošanu noslēgšanu, risināšanu, ja atbilstoši noteikumu projektā noteiktajam šī informācija tiek iekļauta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Ja tiek īstenots efektīvas sadarbības pētniecības projekts, katra sadarbības partnera veiktajām izmaksām tiek piemērota atbilstoša intensitāte, ņemot vērā partnera atbilstību sīkajam (mikro), mazajam, vidējam vai lielajam komersantam, atbilstoši šo noteikumu </w:t>
            </w:r>
            <w:r w:rsidR="00000000" w:rsidRPr="00000000" w:rsidDel="00000000">
              <w:rPr>
                <w:rtl w:val="0"/>
              </w:rPr>
              <w:t xml:space="preserve">68.1. </w:t>
            </w:r>
            <w:r w:rsidR="00000000" w:rsidRPr="00000000" w:rsidDel="00000000">
              <w:rPr>
                <w:rtl w:val="0"/>
              </w:rPr>
              <w:t xml:space="preserve">apakšpunktā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efektīvas sadarbības pētniecības projekts, ņemot vērā, ka iepriekš nav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Atveseļošanas fonda finansējuma ieviešanas progresu un datu pieejamību un to apstrādi nodrošina atbilstoši noteikumos Nr. 621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151. punktu ar personām/iestādēm, uz kurām attiecīgais nosacījums ir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6.punktu papildināt ar finansējuma sadalījumu pa gadiem. Vienlaikus vēršam uzmanību uz 6.punktā norādīto, ka investīcijas izdevumu attiecināmības termiņš ir līdz 2027.gada 31.decembrim, savukārt izmaiņu ailēs 2024.-2026.gadā norādītā finansējuma kopsumma jau veido kopējo pieejamo Atveseļošanas fonda finansējumu 24 300 000 euro apmērā, attiecīgi lūdzam izvērtēt un nepieciešamības gadījumā veikt precizējumus.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22-TA-3597</w:t>
    </w:r>
    <w:r>
      <w:br/>
    </w:r>
    <w:r w:rsidR="00000000" w:rsidRPr="00000000" w:rsidDel="00000000">
      <w:rPr>
        <w:rtl w:val="0"/>
      </w:rPr>
      <w:t xml:space="preserve">Izdrukāts 06.10.2023. 10.44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22-TA-3597</w:t>
    </w:r>
    <w:r>
      <w:br/>
    </w:r>
    <w:r w:rsidR="00000000" w:rsidRPr="00000000" w:rsidDel="00000000">
      <w:rPr>
        <w:rtl w:val="0"/>
      </w:rPr>
      <w:t xml:space="preserve">Izdrukāts 06.10.2023. 10.44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Atzinumi_22-TA-3597.docx</dc:title>
</cp:coreProperties>
</file>

<file path=docProps/custom.xml><?xml version="1.0" encoding="utf-8"?>
<Properties xmlns="http://schemas.openxmlformats.org/officeDocument/2006/custom-properties" xmlns:vt="http://schemas.openxmlformats.org/officeDocument/2006/docPropsVTypes"/>
</file>