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24-TA-781: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mediju politikas pamatnostādnes 2024.–2027. 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26.08.2024.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26.08.2024.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