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25. marta noteikumos Nr. 195 "Mašīnu 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20.04.2026.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