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 kā puse no jaunveidojamās  aizsargājamās teritorijas paredzēts izvietot privātajā īpašumā esošajās zemēs.  Aicinām nevirzīt normatīvā akta projektu,, kamēr nav izpildīts Ministru kabineta rīcības plāna uzdevums- ieviesta taisnīga kompensāciju sistēma par saimnieciskās darbības aprobežojumiem, kas pārskatīta  un izveidota ar lauksaimniecību un mežsaimniecību saistīto dabas resursu efektīvu un ilgtspējīgu pārvaldības modeli.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 (LMIB)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vairāk kā pusi no jaunveidojamās aizsargājamās teritorijas paredzēts izvietot privātīpašumā esošajās zemēs, aicinām ievērot Tieslietu ministrijas izteikto viedokli par satversmības vērtējuma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 (LMIB)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ka ir ticis izvērtēts  prasību un izmaksu samērīgums pret ieguvumiem. Pirmkārt, nekur anotācijā nav dota informācija par jaunveidojamās teritorijas sociālekonomisko ietekmi. Otrkārt, anotācijā pieminētā kompensāciju sistēma par saimnieciskās darbības aprobežojumiem nav taisnīga un sedz tikai niecīgu daļu no privātpersonām nodarītajiem zaudējumiem (neiegūtais labums) kas rodas no plānotās saimnieciskās darbības aprobežojumiem. 16.janvārī apstiprinātajā valdības rīcības plāna punkts 32.6. nosaka, ka tiek Ieviesta taisnīga kompensāciju sistēma par saimnieciskās darbības aprobežojumiem, kas pārskatīta  un izveidota ar lauksaimniecību un mežsaimniecību saistīto dabas resursu efektīvu un ilgtspējīgu pārvaldības modeli. Aicinām anotācijā  paredzēt taisnīgas kompensāciju sistēmas ieviešanas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 (LMIB)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22.01.2024. 21.49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22.01.2024. 21.49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