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Civilās aizsardzības un katastrofas pārvaldīšanas likumā” (24-TA-287) (turpmāk – Likumprojekts) 2. pants, cita starpā, paredz paplašināt Būvvaldes kompetenci, proti, konsultējoties ar pašvaldību, lemt par atbrīvojumu no likumā noteiktā pienākuma konkrētos gadījumos izbūvējot jaunus objektus vienlaikus izbūvēt arī patvertni. Korupcijas novēršanas un apkarošanas birojs (turpmāk – KNAB) vērš uzmanību, ka pašlaik Likumprojekta 2. panta tvērumā iekļautie atbrīvojumu kritēriji ir plaši interpretējami un rada nevienlīdzīgus nosacījumus, kā arī piešķir amatpersonai plašu rīcības brīvību, radot korupcijas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“Par tālāko rīcību patvertņu jautājumā” (Ministru kabineta 09.01.2024. sēdes prot. Nr.1, 95.§, 23-TA-687) Ekonomikas ministrijas norādītajam, jau patlaban ir skaidrs, ka patvertnes izbūve sadārdzinās būvniecības izmaksas vidēji variējot 10-30% robežās un jaunu objektu gadījumā patvertņu izbūves izmaksas varētu pieaugt aptuveni par 50 %. Savukārt fakta konstatēšana, ka attiecīgajā teritorijā jau ir pietiekams patvertņu skaits, radīs nevienlīdzīgu attieksmi pret nekustamā īpašuma attīstītājiem, plānojot nākotnes projektus, pieļaujot iespējas manipulēt ar būvniecību izmaksu aprēķiniem, tādējādi izvairoties no likumprojektā paredzētā obligātā pienākuma. Tāpat Likumprojekta anotācija  nesatur izsmeļošāku skaidrojumu par izvēlētajiem kritērijiem, turklāt ar Likumprojekta 2.pantu paredzēts noteikt pienākumu patvertnes īpašniekam nodrošināt patvertnes uzturēšanu, kas tālāk radīs finansiālās saistības būves īpašniekam vai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KNAB lūdz Likumprojekta 2.pantā noteikt samērīgus un skaidrus kritērijus, kuros gadījumos likumā noteiktais pienākums var tikt atcelts, tādējādi ierobežojot amatpersonas rīcības brīvību un samazinot korupcijas risku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08.07.2024.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08.07.2024.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