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skaidrojumu ar informāciju atbilstoši izziņas 1., 2., 3.punktā sniegtajam skaidrojumam par noteikumu projekta 8.punktā minēto obligāto vakcinēšanos (</w:t>
            </w:r>
            <w:r w:rsidR="00000000" w:rsidRPr="00000000" w:rsidDel="00000000">
              <w:rPr>
                <w:i w:val="1"/>
                <w:rtl w:val="0"/>
              </w:rPr>
              <w:t xml:space="preserve">ārstniecības iestādēm un ārstiem ir obligāts pienākums uzrunāt un piedāvāt iespēju saviem pacientiem vakcinēties, bet vakcinācija pret Covid-19, tāpat kā pret citām infekcijas slimībām, ir un paliek jebkura cilvēka brīva izvēle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6.punktu, pēdējā rindkopā norādot, ka finansiālā ietekme par digitalizācijas procesa ieviešanu vakcinācijas jomā ir atspoguļota likumprojekta “Grozījumi Epidemioloģiskās drošības likumā” anotācijā (23-TA-1354).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veiktu vakcināciju pret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infekcijas slimībām, Nacionālais veselības dienests nodrošina vakcīnu, vakcinācijas piederumu, uzglabāšanas, loģistikas un nepieciešamības gadījumā utilizācijas pakalpojumu iegādi tām vakcīnām, kas ir valsts īpašumā un atrodas zāļu lieltirgotavās, ar kurām Nacionālais veselības dienests ir noslēdzis līgumu Publisko iepirkumu likumā noteiktajā kārtībā, Baltijas valstu partnerības līguma ietvaros vai Eiropas Komisijas noslēgto līgumu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28.punktā piedāvāto 14.punkta redakciju, ņemot vērā, ka pašreizējā redakcijā nav nepārprotami skaidrs, uz ko ir attiecināmi noslēgtie līgumi Publisko iepirkumu likuma noteiktajā kārtībā, Baltijas valstu partnerības likuma ietvaros vai Eiropas Komisijas noslēgto līgumu ietvaros, proti, uz zāļu lieltirgotavām, vakcinācijas piederumiem, t.sk. uzglabāšanas, loģistikas un utilizācijas iegādi, vai vakcīnām. Papildus, lai neveidotu kazuistisku uzskatījumu - "Publisko iepirkumu likuma noteiktajā kārtībā, Baltijas valstu partnerības līguma ietvaros vai Eiropas komisijas noslēgto līgumu ietvaros" - aicinām definēt normu vispārīgāk, norādot uz, piemēram, - "noslēgtu iepirkuma līgumu tiesību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Volbergs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26.10.2023.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26.10.2023.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Atzinumi_23-TA-1800.docx</dc:title>
</cp:coreProperties>
</file>

<file path=docProps/custom.xml><?xml version="1.0" encoding="utf-8"?>
<Properties xmlns="http://schemas.openxmlformats.org/officeDocument/2006/custom-properties" xmlns:vt="http://schemas.openxmlformats.org/officeDocument/2006/docPropsVTypes"/>
</file>