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9C6D9FC" w14:textId="77777777" w:rsidR="004D3A7D" w:rsidRDefault="000403D9">
      <w:pPr>
        <w:pStyle w:val="titleparagraph"/>
        <w:contextualSpacing w:val="0"/>
      </w:pPr>
      <w:r>
        <w:t>25-TA-2347: Noteikumu projekts (Grozījumi)</w:t>
      </w:r>
    </w:p>
    <w:p w14:paraId="4CA5613A" w14:textId="77777777" w:rsidR="004D3A7D" w:rsidRDefault="000403D9">
      <w:pPr>
        <w:pStyle w:val="boldparagraph"/>
        <w:contextualSpacing w:val="0"/>
      </w:pPr>
      <w:r>
        <w:t>Grozījumi Ministru kabineta 2025. gada 6. maija noteikumos Nr. 277 "Kārtība, kādā nodrošina prioritāru publisku pakalpojumu sniegšanu komersantiem"</w:t>
      </w:r>
    </w:p>
    <w:p w14:paraId="7F8FCF40" w14:textId="77777777" w:rsidR="004D3A7D" w:rsidRDefault="000403D9">
      <w:pPr>
        <w:pStyle w:val="titleparagraph"/>
        <w:contextualSpacing w:val="0"/>
      </w:pPr>
      <w:r>
        <w:t>TA saskaņojamie dokumenti</w:t>
      </w:r>
    </w:p>
    <w:p w14:paraId="4B0EBAA4" w14:textId="77777777" w:rsidR="004D3A7D" w:rsidRDefault="000403D9">
      <w:r>
        <w:t>Noteikumu (grozījumu) projekts 4.0</w:t>
      </w:r>
    </w:p>
    <w:p w14:paraId="0F1B111B" w14:textId="77777777" w:rsidR="004D3A7D" w:rsidRDefault="000403D9">
      <w:r>
        <w:t>Anotācija (ex-ante) 4.0</w:t>
      </w:r>
    </w:p>
    <w:p w14:paraId="1C6BDF06" w14:textId="77777777" w:rsidR="004D3A7D" w:rsidRDefault="000403D9">
      <w:r>
        <w:t>MK sēdes protokollēmuma projekts 1.0</w:t>
      </w:r>
    </w:p>
    <w:p w14:paraId="7157B514" w14:textId="77777777" w:rsidR="004D3A7D" w:rsidRDefault="000403D9">
      <w:r>
        <w:t>Noteikumu konsolidētā versija 7.0</w:t>
      </w:r>
    </w:p>
    <w:p w14:paraId="4CCAC08B" w14:textId="77777777" w:rsidR="004D3A7D" w:rsidRDefault="000403D9">
      <w:pPr>
        <w:pStyle w:val="titleparagraph"/>
        <w:contextualSpacing w:val="0"/>
      </w:pPr>
      <w:r>
        <w:t>Atzinuma sniedzējs</w:t>
      </w:r>
    </w:p>
    <w:p w14:paraId="19496D24" w14:textId="77777777" w:rsidR="004D3A7D" w:rsidRDefault="000403D9">
      <w:r>
        <w:t>Viedās administrācijas un reģionālās attīstības ministrija</w:t>
      </w:r>
    </w:p>
    <w:p w14:paraId="30ECACFC" w14:textId="77777777" w:rsidR="004D3A7D" w:rsidRDefault="000403D9">
      <w:pPr>
        <w:pStyle w:val="titleparagraph"/>
        <w:contextualSpacing w:val="0"/>
      </w:pPr>
      <w:r>
        <w:t>Atzinums iesniegts</w:t>
      </w:r>
    </w:p>
    <w:p w14:paraId="02B50E27" w14:textId="77777777" w:rsidR="004D3A7D" w:rsidRDefault="000403D9">
      <w:r>
        <w:t>31.01.2026.</w:t>
      </w:r>
    </w:p>
    <w:p w14:paraId="76EC9008" w14:textId="77777777" w:rsidR="004D3A7D" w:rsidRDefault="000403D9">
      <w:pPr>
        <w:pStyle w:val="titleparagraph"/>
        <w:contextualSpacing w:val="0"/>
      </w:pPr>
      <w:r>
        <w:t>Atzinuma sniegšanas termiņš</w:t>
      </w:r>
    </w:p>
    <w:p w14:paraId="6C5E8701" w14:textId="77777777" w:rsidR="004D3A7D" w:rsidRDefault="000403D9">
      <w:r>
        <w:t>30.01.2026.</w:t>
      </w:r>
    </w:p>
    <w:p w14:paraId="016E2B20" w14:textId="77777777" w:rsidR="004D3A7D" w:rsidRDefault="000403D9">
      <w:pPr>
        <w:pStyle w:val="titleparagraph"/>
        <w:contextualSpacing w:val="0"/>
      </w:pPr>
      <w:r>
        <w:t>Saskaņošanas rezultāts</w:t>
      </w:r>
    </w:p>
    <w:p w14:paraId="7A79248B" w14:textId="77777777" w:rsidR="004D3A7D" w:rsidRDefault="000403D9">
      <w:r>
        <w:t>Noklusējuma saskaņojums</w:t>
      </w:r>
    </w:p>
    <w:p w14:paraId="147BD200" w14:textId="77777777" w:rsidR="004D3A7D" w:rsidRDefault="000403D9">
      <w:pPr>
        <w:pStyle w:val="titleparagraph"/>
        <w:contextualSpacing w:val="0"/>
      </w:pPr>
      <w:r>
        <w:t>Pieejamības statuss</w:t>
      </w:r>
    </w:p>
    <w:p w14:paraId="6D33FF6C" w14:textId="77777777" w:rsidR="004D3A7D" w:rsidRDefault="000403D9">
      <w:r>
        <w:t>Vispārpieejams</w:t>
      </w:r>
    </w:p>
    <w:p w14:paraId="7EDABFA0" w14:textId="77777777" w:rsidR="004D3A7D" w:rsidRDefault="004D3A7D"/>
    <w:tbl>
      <w:tblPr>
        <w:tblStyle w:val="a"/>
        <w:tblW w:w="9642"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40"/>
        <w:gridCol w:w="3016"/>
        <w:gridCol w:w="4721"/>
        <w:gridCol w:w="1365"/>
      </w:tblGrid>
      <w:tr w:rsidR="004D3A7D" w14:paraId="7FA3BD60" w14:textId="77777777">
        <w:tc>
          <w:tcPr>
            <w:tcW w:w="675" w:type="dxa"/>
            <w:shd w:val="clear" w:color="auto" w:fill="FFFFFF"/>
            <w:noWrap/>
            <w:tcMar>
              <w:top w:w="75" w:type="dxa"/>
              <w:left w:w="75" w:type="dxa"/>
              <w:bottom w:w="75" w:type="dxa"/>
              <w:right w:w="75" w:type="dxa"/>
            </w:tcMar>
            <w:vAlign w:val="center"/>
          </w:tcPr>
          <w:p w14:paraId="28F664D2" w14:textId="77777777" w:rsidR="004D3A7D" w:rsidRDefault="000403D9">
            <w:pPr>
              <w:jc w:val="center"/>
              <w:rPr>
                <w:b/>
              </w:rPr>
            </w:pPr>
            <w:r>
              <w:rPr>
                <w:b/>
              </w:rPr>
              <w:t>Nr.p.k.</w:t>
            </w:r>
          </w:p>
        </w:tc>
        <w:tc>
          <w:tcPr>
            <w:tcW w:w="4050" w:type="dxa"/>
            <w:shd w:val="clear" w:color="auto" w:fill="FFFFFF"/>
            <w:noWrap/>
            <w:tcMar>
              <w:top w:w="75" w:type="dxa"/>
              <w:left w:w="75" w:type="dxa"/>
              <w:bottom w:w="75" w:type="dxa"/>
              <w:right w:w="75" w:type="dxa"/>
            </w:tcMar>
            <w:vAlign w:val="center"/>
          </w:tcPr>
          <w:p w14:paraId="0F86A455" w14:textId="77777777" w:rsidR="004D3A7D" w:rsidRDefault="000403D9">
            <w:pPr>
              <w:jc w:val="center"/>
              <w:rPr>
                <w:b/>
              </w:rPr>
            </w:pPr>
            <w:r>
              <w:rPr>
                <w:b/>
              </w:rPr>
              <w:t>Projekta redakcija</w:t>
            </w:r>
          </w:p>
        </w:tc>
        <w:tc>
          <w:tcPr>
            <w:tcW w:w="6375" w:type="dxa"/>
            <w:shd w:val="clear" w:color="auto" w:fill="FFFFFF"/>
            <w:noWrap/>
            <w:tcMar>
              <w:top w:w="75" w:type="dxa"/>
              <w:left w:w="75" w:type="dxa"/>
              <w:bottom w:w="75" w:type="dxa"/>
              <w:right w:w="75" w:type="dxa"/>
            </w:tcMar>
            <w:vAlign w:val="center"/>
          </w:tcPr>
          <w:p w14:paraId="3B5B14C4" w14:textId="77777777" w:rsidR="004D3A7D" w:rsidRDefault="000403D9">
            <w:pPr>
              <w:jc w:val="center"/>
              <w:rPr>
                <w:b/>
              </w:rPr>
            </w:pPr>
            <w:r>
              <w:rPr>
                <w:b/>
              </w:rPr>
              <w:t>Iebildums / Priekšlikums</w:t>
            </w:r>
          </w:p>
        </w:tc>
        <w:tc>
          <w:tcPr>
            <w:tcW w:w="1800" w:type="dxa"/>
            <w:shd w:val="clear" w:color="auto" w:fill="FFFFFF"/>
            <w:noWrap/>
            <w:tcMar>
              <w:top w:w="75" w:type="dxa"/>
              <w:left w:w="75" w:type="dxa"/>
              <w:bottom w:w="75" w:type="dxa"/>
              <w:right w:w="75" w:type="dxa"/>
            </w:tcMar>
            <w:vAlign w:val="center"/>
          </w:tcPr>
          <w:p w14:paraId="30386C69" w14:textId="77777777" w:rsidR="004D3A7D" w:rsidRDefault="000403D9">
            <w:pPr>
              <w:jc w:val="center"/>
              <w:rPr>
                <w:b/>
              </w:rPr>
            </w:pPr>
            <w:r>
              <w:rPr>
                <w:b/>
              </w:rPr>
              <w:t>Autors</w:t>
            </w:r>
          </w:p>
        </w:tc>
      </w:tr>
      <w:tr w:rsidR="004D3A7D" w14:paraId="63232755" w14:textId="77777777">
        <w:tc>
          <w:tcPr>
            <w:tcW w:w="675" w:type="dxa"/>
            <w:shd w:val="clear" w:color="auto" w:fill="FFFFFF"/>
            <w:noWrap/>
            <w:tcMar>
              <w:top w:w="75" w:type="dxa"/>
              <w:left w:w="75" w:type="dxa"/>
              <w:bottom w:w="75" w:type="dxa"/>
              <w:right w:w="75" w:type="dxa"/>
            </w:tcMar>
          </w:tcPr>
          <w:p w14:paraId="47A505C8" w14:textId="77777777" w:rsidR="004D3A7D" w:rsidRDefault="000403D9">
            <w:r>
              <w:t>1.</w:t>
            </w:r>
          </w:p>
        </w:tc>
        <w:tc>
          <w:tcPr>
            <w:tcW w:w="4050" w:type="dxa"/>
            <w:shd w:val="clear" w:color="auto" w:fill="FFFFFF"/>
            <w:noWrap/>
            <w:tcMar>
              <w:top w:w="75" w:type="dxa"/>
              <w:left w:w="75" w:type="dxa"/>
              <w:bottom w:w="75" w:type="dxa"/>
              <w:right w:w="75" w:type="dxa"/>
            </w:tcMar>
          </w:tcPr>
          <w:p w14:paraId="20DBB7E1" w14:textId="77777777" w:rsidR="004D3A7D" w:rsidRDefault="000403D9">
            <w:pPr>
              <w:spacing w:after="240"/>
              <w:rPr>
                <w:b/>
              </w:rPr>
            </w:pPr>
            <w:r>
              <w:rPr>
                <w:b/>
              </w:rPr>
              <w:t>Noteikumu konsolidētā versija</w:t>
            </w:r>
          </w:p>
          <w:p w14:paraId="2829EDA2" w14:textId="77777777" w:rsidR="004D3A7D" w:rsidRDefault="000403D9">
            <w:r>
              <w:t>4. Prioritāros projektus var īstenot Latvijā reģistrēts komersants, reģistrēts ārvalsts komersants vai dalībvalsts komercsabiedrība, kam Latvijā ir reģistrēta filiāle Komerclikuma izpratnē (turpmāk – komersants), kas atbilst vismaz vienam no šādiem kritērijiem:</w:t>
            </w:r>
          </w:p>
        </w:tc>
        <w:tc>
          <w:tcPr>
            <w:tcW w:w="6375" w:type="dxa"/>
            <w:shd w:val="clear" w:color="auto" w:fill="FFFFFF"/>
            <w:noWrap/>
            <w:tcMar>
              <w:top w:w="75" w:type="dxa"/>
              <w:left w:w="75" w:type="dxa"/>
              <w:bottom w:w="75" w:type="dxa"/>
              <w:right w:w="75" w:type="dxa"/>
            </w:tcMar>
          </w:tcPr>
          <w:p w14:paraId="6B8E30D9" w14:textId="77777777" w:rsidR="004D3A7D" w:rsidRDefault="000403D9">
            <w:pPr>
              <w:spacing w:after="240"/>
              <w:rPr>
                <w:b/>
              </w:rPr>
            </w:pPr>
            <w:r>
              <w:rPr>
                <w:b/>
              </w:rPr>
              <w:t>Priekšlikums</w:t>
            </w:r>
          </w:p>
          <w:p w14:paraId="48F4DC3C" w14:textId="77777777" w:rsidR="004D3A7D" w:rsidRDefault="000403D9">
            <w:r>
              <w:t>Ministrija atkārtoti norāda uz Inovatīvas uzņēmējdarbības un prioritāro projektu atbalsta likuma 3. panta ceturtās daļas pilnvarojuma apjomu - lai arī Ministru kabineta 2025. gada 6. maija noteikumu Nr. 277 “Kārtība, kādā nodrošina prioritāru publisku pakalpojumu sniegšanu komersantiem” 1. punktā deklaratīvi noteikts šo noteikumu saturs, faktiskajā regulējumā prioritārā projekta kvalifikācija kā patstāvīgs tiesisks fakts nav noteikts, kā arī nav paredzēta skaidra prioritārā projekta statusa piešķiršanas un zaudēšanas kārtība.</w:t>
            </w:r>
          </w:p>
          <w:p w14:paraId="74B1B6BF" w14:textId="77777777" w:rsidR="004D3A7D" w:rsidRDefault="000403D9">
            <w:r>
              <w:t xml:space="preserve">Ekonomikas ministrijas norādītā konceptuālā pieeja, ka prioritāri tiek vērtēts komersants, neatbilst likuma formulējumam, kur prioritāte ir tieši saistīta ar projektu, nevis tā īstenotāju. Vēršam uzmanību, ka noteikumu projekta papildināšana ar prasību pakalpojuma </w:t>
            </w:r>
            <w:r>
              <w:lastRenderedPageBreak/>
              <w:t>pieprasīšanas brīdī norādīt konkrēto projektu iepriekš minēto jautājumu pēc būtības nerisina.</w:t>
            </w:r>
          </w:p>
          <w:p w14:paraId="60BCAC21" w14:textId="77777777" w:rsidR="004D3A7D" w:rsidRDefault="000403D9">
            <w:r>
              <w:t>Atkārtoti norādām, ka pakalpojuma sniedzēji, tostarp pašvaldības, sniedz normatīvajos aktos noteiktos pakalpojumus, nevis kvalificē prioritāros projektus, piešķir prioritāro projektu statusu vai lemj par tā zaudēšanu. Pašvaldībai nav tiesiska pamata sniegt personai pakalpojumu prioritārā kārtībā konkrēta projekta īstenošanai, ja nav noteiktības, ka šāds projekts ir atzīstams par prioritāro projektu.</w:t>
            </w:r>
          </w:p>
          <w:p w14:paraId="412459CF" w14:textId="77777777" w:rsidR="004D3A7D" w:rsidRDefault="000403D9">
            <w:r>
              <w:t>Ievērojot iepriekš minēto un Valsts pārvaldes iekārtas likuma 10. panta pirmo daļu, kas noteic, ka valsts pārvalde savas pilnvaras var izmantot tikai atbilstoši pilnvarojuma jēgai un mērķim, lūdzam izvērtēt iespēju pārskatīt paredzēto regulējumu.</w:t>
            </w:r>
          </w:p>
          <w:p w14:paraId="2A9642A7" w14:textId="77777777" w:rsidR="004D3A7D" w:rsidRDefault="000403D9">
            <w:pPr>
              <w:spacing w:before="240" w:after="240"/>
              <w:rPr>
                <w:i/>
              </w:rPr>
            </w:pPr>
            <w:r>
              <w:rPr>
                <w:i/>
              </w:rPr>
              <w:t>Piedāvātā redakcija</w:t>
            </w:r>
          </w:p>
          <w:p w14:paraId="7D281838" w14:textId="77777777" w:rsidR="004D3A7D" w:rsidRDefault="000403D9">
            <w:r>
              <w:t>-</w:t>
            </w:r>
          </w:p>
          <w:p w14:paraId="650337D4" w14:textId="77777777" w:rsidR="00682F82" w:rsidRDefault="00682F82"/>
          <w:p w14:paraId="54FD7571" w14:textId="77777777" w:rsidR="00682F82" w:rsidRDefault="00682F82"/>
          <w:p w14:paraId="195D779C" w14:textId="07DC917D" w:rsidR="00682F82" w:rsidRDefault="00682F82" w:rsidP="00682F82">
            <w:pPr>
              <w:jc w:val="both"/>
            </w:pPr>
            <w:r>
              <w:rPr>
                <w:b/>
                <w:bCs/>
              </w:rPr>
              <w:t xml:space="preserve">03.02.2026. </w:t>
            </w:r>
            <w:r w:rsidRPr="00682F82">
              <w:rPr>
                <w:b/>
                <w:bCs/>
              </w:rPr>
              <w:t>Priekšlikums tika ņemts vērā daļēji</w:t>
            </w:r>
            <w:r w:rsidRPr="00682F82">
              <w:t xml:space="preserve">, precizējot noteikumu projekta 4. punkta redakciju, lai skaidrāk atspoguļotu regulējuma būtību un novērstu interpretācijas risku par prioritārā projekta statusa ,kā patstāvīga tiesiska fakta pastāvēšanu. </w:t>
            </w:r>
          </w:p>
          <w:p w14:paraId="61003F54" w14:textId="77777777" w:rsidR="00682F82" w:rsidRDefault="00682F82" w:rsidP="00682F82"/>
          <w:p w14:paraId="6BF43E6F" w14:textId="77777777" w:rsidR="00682F82" w:rsidRPr="00682F82" w:rsidRDefault="00682F82" w:rsidP="00682F82">
            <w:pPr>
              <w:jc w:val="both"/>
            </w:pPr>
            <w:r w:rsidRPr="00682F82">
              <w:rPr>
                <w:b/>
                <w:bCs/>
              </w:rPr>
              <w:t>Par apgalvojumu, ka noteikumu projekta 1. punkts esot tikai deklaratīvs</w:t>
            </w:r>
          </w:p>
          <w:p w14:paraId="140C2409" w14:textId="77777777" w:rsidR="00682F82" w:rsidRPr="00682F82" w:rsidRDefault="00682F82" w:rsidP="00682F82">
            <w:pPr>
              <w:jc w:val="both"/>
            </w:pPr>
            <w:r w:rsidRPr="00682F82">
              <w:t>Apgalvojums, ka noteikumu projekta 1. punkts būtu tikai deklaratīvs, nav pamatots.</w:t>
            </w:r>
          </w:p>
          <w:p w14:paraId="30CF1C8D" w14:textId="77777777" w:rsidR="00682F82" w:rsidRPr="00682F82" w:rsidRDefault="00682F82" w:rsidP="00682F82">
            <w:pPr>
              <w:jc w:val="both"/>
            </w:pPr>
            <w:r w:rsidRPr="00682F82">
              <w:t xml:space="preserve">Noteikumu projekta </w:t>
            </w:r>
            <w:r w:rsidRPr="00682F82">
              <w:rPr>
                <w:b/>
                <w:bCs/>
              </w:rPr>
              <w:t>1.1. apakšpunktā</w:t>
            </w:r>
            <w:r w:rsidRPr="00682F82">
              <w:t xml:space="preserve"> ir skaidri noteikts, ka noteikumi nosaka prioritāro projektu kvalifikācijas kritērijus, kā arī prioritāro projektu statusa piešķiršanas un zaudēšanas nosacījumus un kārtību. Savukārt </w:t>
            </w:r>
            <w:r w:rsidRPr="00682F82">
              <w:rPr>
                <w:b/>
                <w:bCs/>
              </w:rPr>
              <w:t>1.2. apakšpunktā</w:t>
            </w:r>
            <w:r w:rsidRPr="00682F82">
              <w:t xml:space="preserve"> ir noteikta prioritāro projektu iesniegšanas, izvērtēšanas, īstenošanas un uzraudzības kārtība.</w:t>
            </w:r>
          </w:p>
          <w:p w14:paraId="1487184E" w14:textId="77777777" w:rsidR="00682F82" w:rsidRPr="00682F82" w:rsidRDefault="00682F82" w:rsidP="00682F82">
            <w:pPr>
              <w:jc w:val="both"/>
            </w:pPr>
            <w:r w:rsidRPr="00682F82">
              <w:t xml:space="preserve">Minētais regulējums tiek </w:t>
            </w:r>
            <w:r w:rsidRPr="00682F82">
              <w:rPr>
                <w:b/>
                <w:bCs/>
              </w:rPr>
              <w:t>konkretizēts un īstenots noteikumu projekta II–IV nodaļā</w:t>
            </w:r>
            <w:r w:rsidRPr="00682F82">
              <w:t>, kur ir ietverts detalizēts tiesiskais mehānisms, tostarp:</w:t>
            </w:r>
          </w:p>
          <w:p w14:paraId="1DBC1BF7" w14:textId="77777777" w:rsidR="00682F82" w:rsidRPr="00682F82" w:rsidRDefault="00682F82" w:rsidP="00682F82">
            <w:pPr>
              <w:numPr>
                <w:ilvl w:val="0"/>
                <w:numId w:val="5"/>
              </w:numPr>
            </w:pPr>
            <w:r w:rsidRPr="00682F82">
              <w:t>prioritāro projektu kvalifikācijas izvērtēšana;</w:t>
            </w:r>
          </w:p>
          <w:p w14:paraId="54898BFA" w14:textId="77777777" w:rsidR="00682F82" w:rsidRPr="00682F82" w:rsidRDefault="00682F82" w:rsidP="00682F82">
            <w:pPr>
              <w:numPr>
                <w:ilvl w:val="0"/>
                <w:numId w:val="5"/>
              </w:numPr>
            </w:pPr>
            <w:r w:rsidRPr="00682F82">
              <w:t>prioritārā projekta statusa piešķiršana un zaudēšana;</w:t>
            </w:r>
          </w:p>
          <w:p w14:paraId="3BCBC6F8" w14:textId="77777777" w:rsidR="00682F82" w:rsidRPr="00682F82" w:rsidRDefault="00682F82" w:rsidP="00682F82">
            <w:pPr>
              <w:numPr>
                <w:ilvl w:val="0"/>
                <w:numId w:val="5"/>
              </w:numPr>
            </w:pPr>
            <w:r w:rsidRPr="00682F82">
              <w:lastRenderedPageBreak/>
              <w:t>prioritārās apkalpošanas nosacījumi un uzraudzība.</w:t>
            </w:r>
          </w:p>
          <w:p w14:paraId="139CE712" w14:textId="77777777" w:rsidR="00682F82" w:rsidRPr="00682F82" w:rsidRDefault="00682F82" w:rsidP="00682F82">
            <w:pPr>
              <w:jc w:val="both"/>
            </w:pPr>
            <w:r w:rsidRPr="00682F82">
              <w:t xml:space="preserve">Līdz ar to nav pamata uzskatīt, ka noteikumu projekta 1. punktam būtu tikai deklaratīvs raksturs, jo tā saturs tiek detalizēti konkretizēts un īstenots turpmākajās noteikumu projekta normās. </w:t>
            </w:r>
          </w:p>
          <w:p w14:paraId="05596241" w14:textId="77777777" w:rsidR="00682F82" w:rsidRPr="00682F82" w:rsidRDefault="00682F82" w:rsidP="00682F82">
            <w:pPr>
              <w:jc w:val="both"/>
            </w:pPr>
            <w:r w:rsidRPr="00682F82">
              <w:rPr>
                <w:b/>
                <w:bCs/>
              </w:rPr>
              <w:t>Par prioritārā projekta kvalifikācijas un statusa esību</w:t>
            </w:r>
          </w:p>
          <w:p w14:paraId="511AFA61" w14:textId="77777777" w:rsidR="00682F82" w:rsidRPr="00682F82" w:rsidRDefault="00682F82" w:rsidP="00682F82">
            <w:pPr>
              <w:jc w:val="both"/>
            </w:pPr>
            <w:r w:rsidRPr="00682F82">
              <w:t xml:space="preserve">Ministru kabineta noteikumu Nr. 277 projektā prioritārā projekta kvalifikācija un statuss ir paredzēti </w:t>
            </w:r>
            <w:r w:rsidRPr="00682F82">
              <w:rPr>
                <w:b/>
                <w:bCs/>
              </w:rPr>
              <w:t>funkcionāli un sistēmiski</w:t>
            </w:r>
            <w:r w:rsidRPr="00682F82">
              <w:t>, nevis formāli izdalīti vienā atsevišķā normā ar nosaukumu “prioritārā projekta statuss”.</w:t>
            </w:r>
          </w:p>
          <w:p w14:paraId="13043FDF" w14:textId="77777777" w:rsidR="00682F82" w:rsidRPr="00682F82" w:rsidRDefault="00682F82" w:rsidP="00682F82">
            <w:pPr>
              <w:jc w:val="both"/>
            </w:pPr>
            <w:r w:rsidRPr="00682F82">
              <w:t xml:space="preserve">Noteikumu projekta </w:t>
            </w:r>
            <w:r w:rsidRPr="00682F82">
              <w:rPr>
                <w:b/>
                <w:bCs/>
              </w:rPr>
              <w:t>4. punktā</w:t>
            </w:r>
            <w:r w:rsidRPr="00682F82">
              <w:t xml:space="preserve"> ir konkretizēti kritēriji, kuriem atbilstoši var tikt īstenots prioritārs projekts. Savukārt noteikumu projekta </w:t>
            </w:r>
            <w:r w:rsidRPr="00682F82">
              <w:rPr>
                <w:b/>
                <w:bCs/>
              </w:rPr>
              <w:t>9., 11., 14. un 15. punktā</w:t>
            </w:r>
            <w:r w:rsidRPr="00682F82">
              <w:t xml:space="preserve"> ir paredzēts tiesiskais mehānisms, kas pēc būtības nodrošina:</w:t>
            </w:r>
          </w:p>
          <w:p w14:paraId="2512FF51" w14:textId="77777777" w:rsidR="00682F82" w:rsidRPr="00682F82" w:rsidRDefault="00682F82" w:rsidP="00682F82">
            <w:pPr>
              <w:numPr>
                <w:ilvl w:val="0"/>
                <w:numId w:val="6"/>
              </w:numPr>
              <w:jc w:val="both"/>
            </w:pPr>
            <w:r w:rsidRPr="00682F82">
              <w:t>prioritārā projekta statusa piešķiršanu (komersanta iekļaušanu prioritārās apkalpošanas sarakstā);</w:t>
            </w:r>
          </w:p>
          <w:p w14:paraId="64D98DD5" w14:textId="77777777" w:rsidR="00682F82" w:rsidRPr="00682F82" w:rsidRDefault="00682F82" w:rsidP="00682F82">
            <w:pPr>
              <w:numPr>
                <w:ilvl w:val="0"/>
                <w:numId w:val="6"/>
              </w:numPr>
              <w:jc w:val="both"/>
            </w:pPr>
            <w:r w:rsidRPr="00682F82">
              <w:t>prioritārā projekta statusa darbības termiņu;</w:t>
            </w:r>
          </w:p>
          <w:p w14:paraId="09230231" w14:textId="77777777" w:rsidR="00682F82" w:rsidRPr="00682F82" w:rsidRDefault="00682F82" w:rsidP="00682F82">
            <w:pPr>
              <w:numPr>
                <w:ilvl w:val="0"/>
                <w:numId w:val="6"/>
              </w:numPr>
              <w:jc w:val="both"/>
            </w:pPr>
            <w:r w:rsidRPr="00682F82">
              <w:t>prioritārā projekta statusa zaudēšanu (komersanta izslēgšanu no saraksta).</w:t>
            </w:r>
          </w:p>
          <w:p w14:paraId="1F17D52A" w14:textId="77777777" w:rsidR="00682F82" w:rsidRPr="00682F82" w:rsidRDefault="00682F82" w:rsidP="00682F82">
            <w:pPr>
              <w:jc w:val="both"/>
            </w:pPr>
            <w:r w:rsidRPr="00682F82">
              <w:t xml:space="preserve">Tādējādi prioritārā projekta statuss kā </w:t>
            </w:r>
            <w:r w:rsidRPr="00682F82">
              <w:rPr>
                <w:b/>
                <w:bCs/>
              </w:rPr>
              <w:t>tiesisks fakts</w:t>
            </w:r>
            <w:r w:rsidRPr="00682F82">
              <w:t xml:space="preserve"> noteikumu projektā pastāv, taču tas netiek noformēts kā atsevišķs deklaratīvs statuss, bet tiek īstenots, izmantojot administratīvu instrumentu - komersanta iekļaušanu prioritārās apkalpošanas sarakstā.</w:t>
            </w:r>
          </w:p>
          <w:p w14:paraId="70596B0C" w14:textId="77777777" w:rsidR="00682F82" w:rsidRPr="00682F82" w:rsidRDefault="00682F82" w:rsidP="00682F82">
            <w:pPr>
              <w:jc w:val="both"/>
            </w:pPr>
            <w:r w:rsidRPr="00682F82">
              <w:t>No tiesību tehnikas un administratīvā procesa viedokļa šāda pieeja ir leģitīma, jo prioritārā apkalpošana valsts un pašvaldību iestādēs tiek nodrošināta pēc komersanta pieprasījuma konkrēta projekta īstenošanai, savukārt pakalpojumu sniedzēji savas funkcijas īsteno attiecībā uz komersantu, nevis autonomi kvalificē projektus.</w:t>
            </w:r>
          </w:p>
          <w:p w14:paraId="316C8D71" w14:textId="77777777" w:rsidR="00682F82" w:rsidRPr="00682F82" w:rsidRDefault="00682F82" w:rsidP="00682F82">
            <w:pPr>
              <w:jc w:val="both"/>
            </w:pPr>
            <w:r w:rsidRPr="00682F82">
              <w:rPr>
                <w:b/>
                <w:bCs/>
              </w:rPr>
              <w:t>Par prioritārā projekta un komersanta attiecību regulējumā</w:t>
            </w:r>
          </w:p>
          <w:p w14:paraId="2C7AF90D" w14:textId="77777777" w:rsidR="00682F82" w:rsidRPr="00682F82" w:rsidRDefault="00682F82" w:rsidP="00682F82">
            <w:pPr>
              <w:jc w:val="both"/>
            </w:pPr>
            <w:r w:rsidRPr="00682F82">
              <w:t xml:space="preserve">Lai gan Inovatīvas uzņēmējdarbības un prioritāro projektu atbalsta likumā prioritāte ir saistīta ar projektu, noteikumu projektā izvēlētais risinājums paredz, ka prioritārā projekta statuss tiek piešķirts </w:t>
            </w:r>
            <w:r w:rsidRPr="00682F82">
              <w:rPr>
                <w:b/>
                <w:bCs/>
              </w:rPr>
              <w:t>projekta kontekstā</w:t>
            </w:r>
            <w:r w:rsidRPr="00682F82">
              <w:t>, bet administrēts caur komersantu kā tiesisko subjektu.</w:t>
            </w:r>
          </w:p>
          <w:p w14:paraId="04B128C4" w14:textId="77777777" w:rsidR="00682F82" w:rsidRDefault="00682F82" w:rsidP="00682F82">
            <w:pPr>
              <w:jc w:val="both"/>
            </w:pPr>
            <w:r w:rsidRPr="00682F82">
              <w:lastRenderedPageBreak/>
              <w:t>Šāda pieeja nodrošina regulējuma praktisku piemērojamību, tiesisko noteiktību pakalpojumu sniedzējiem un efektīvu administrēšanu, vienlaikus saglabājot atbilstību likumā noteiktajam pilnvarojuma mērķim.</w:t>
            </w:r>
          </w:p>
          <w:p w14:paraId="060046EA" w14:textId="77777777" w:rsidR="00682F82" w:rsidRDefault="00682F82" w:rsidP="00682F82">
            <w:pPr>
              <w:jc w:val="both"/>
            </w:pPr>
          </w:p>
          <w:p w14:paraId="4AABFE04" w14:textId="77777777" w:rsidR="00682F82" w:rsidRPr="00682F82" w:rsidRDefault="00682F82" w:rsidP="00682F82">
            <w:pPr>
              <w:jc w:val="both"/>
            </w:pPr>
            <w:r w:rsidRPr="00682F82">
              <w:rPr>
                <w:b/>
                <w:bCs/>
              </w:rPr>
              <w:t>Par pakalpojumu sniedzēju lomu un prioritārā projekta noteiktību</w:t>
            </w:r>
          </w:p>
          <w:p w14:paraId="433CC2BC" w14:textId="77777777" w:rsidR="00682F82" w:rsidRPr="00682F82" w:rsidRDefault="00682F82" w:rsidP="00682F82">
            <w:pPr>
              <w:jc w:val="both"/>
            </w:pPr>
            <w:r w:rsidRPr="00682F82">
              <w:t xml:space="preserve">Noteikumu projekts </w:t>
            </w:r>
            <w:r w:rsidRPr="00682F82">
              <w:rPr>
                <w:b/>
                <w:bCs/>
              </w:rPr>
              <w:t>neparedz</w:t>
            </w:r>
            <w:r w:rsidRPr="00682F82">
              <w:t>, ka pakalpojumu sniedzēji, tostarp pašvaldības, kvalificē prioritāros projektus, piešķir tiem statusu vai lemj par tā zaudēšanu.</w:t>
            </w:r>
          </w:p>
          <w:p w14:paraId="0D0773A0" w14:textId="75335787" w:rsidR="00682F82" w:rsidRPr="00682F82" w:rsidRDefault="00682F82" w:rsidP="00682F82">
            <w:pPr>
              <w:jc w:val="both"/>
            </w:pPr>
            <w:r w:rsidRPr="00682F82">
              <w:t xml:space="preserve">Prioritārā projekta atbilstības izvērtēšana un administrēšana ir centralizēta un tiek veikta </w:t>
            </w:r>
            <w:r w:rsidRPr="00682F82">
              <w:rPr>
                <w:b/>
                <w:bCs/>
              </w:rPr>
              <w:t>LIAA kompetencē</w:t>
            </w:r>
            <w:r w:rsidRPr="00682F82">
              <w:t xml:space="preserve">, savukārt pakalpojumu sniedzēji nodrošina normatīvajos aktos noteiktos publiskos pakalpojumus, pamatojoties uz </w:t>
            </w:r>
            <w:r w:rsidR="001B47D6">
              <w:t xml:space="preserve">LIAA </w:t>
            </w:r>
            <w:r w:rsidRPr="00682F82">
              <w:t>uzturēto un publicēto prioritārās apkalpošanas sarakstu.</w:t>
            </w:r>
          </w:p>
          <w:p w14:paraId="71EB85FB" w14:textId="77777777" w:rsidR="00682F82" w:rsidRPr="00682F82" w:rsidRDefault="00682F82" w:rsidP="00682F82">
            <w:pPr>
              <w:jc w:val="both"/>
            </w:pPr>
            <w:r w:rsidRPr="00682F82">
              <w:t>Pašvaldībām un citām pakalpojumu sniedzēju iestādēm tiesiskais pamats sniegt pakalpojumus prioritārā kārtībā izriet no noteikumu projektā paredzētā tiesiskā mehānisma, proti, no komersanta iekļaušanas prioritārās apkalpošanas sarakstā, kas apliecina, ka komersanta īstenotais projekts ir atzīts par prioritāru atbilstoši noteikumos noteiktajai kārtībai.</w:t>
            </w:r>
          </w:p>
          <w:p w14:paraId="737FEB9C" w14:textId="77777777" w:rsidR="00682F82" w:rsidRPr="00682F82" w:rsidRDefault="00682F82" w:rsidP="00682F82">
            <w:pPr>
              <w:jc w:val="both"/>
            </w:pPr>
            <w:r w:rsidRPr="00682F82">
              <w:t>Līdz ar to pakalpojumu sniedzēji neveic patstāvīgu projektu kvalifikāciju, bet īsteno prioritāro apkalpošanu, balstoties uz centralizēti noteiktu un publiski pieejamu informāciju, kas nodrošina tiesisko noteiktību, vienveidīgu pieeju un atbilstību normatīvajam regulējumam.</w:t>
            </w:r>
          </w:p>
          <w:p w14:paraId="36C42D3A" w14:textId="77777777" w:rsidR="00682F82" w:rsidRDefault="00682F82" w:rsidP="00682F82">
            <w:pPr>
              <w:jc w:val="both"/>
            </w:pPr>
          </w:p>
          <w:p w14:paraId="7A844F1E" w14:textId="77777777" w:rsidR="00682F82" w:rsidRDefault="00682F82" w:rsidP="00682F82">
            <w:pPr>
              <w:jc w:val="both"/>
            </w:pPr>
          </w:p>
          <w:p w14:paraId="5880F7F4" w14:textId="77777777" w:rsidR="00682F82" w:rsidRDefault="00682F82" w:rsidP="00682F82">
            <w:pPr>
              <w:jc w:val="both"/>
            </w:pPr>
          </w:p>
          <w:p w14:paraId="4EDBCC50" w14:textId="77777777" w:rsidR="00682F82" w:rsidRPr="00682F82" w:rsidRDefault="00682F82" w:rsidP="00682F82">
            <w:pPr>
              <w:jc w:val="both"/>
            </w:pPr>
          </w:p>
          <w:p w14:paraId="133C5544" w14:textId="77777777" w:rsidR="00682F82" w:rsidRDefault="00682F82" w:rsidP="00682F82"/>
          <w:p w14:paraId="54E60595" w14:textId="77777777" w:rsidR="00682F82" w:rsidRDefault="00682F82" w:rsidP="00682F82"/>
          <w:p w14:paraId="63AA9082" w14:textId="77777777" w:rsidR="00682F82" w:rsidRPr="00682F82" w:rsidRDefault="00682F82" w:rsidP="00682F82"/>
          <w:p w14:paraId="6187BC16" w14:textId="77777777" w:rsidR="00682F82" w:rsidRDefault="00682F82"/>
        </w:tc>
        <w:tc>
          <w:tcPr>
            <w:tcW w:w="1800" w:type="dxa"/>
            <w:shd w:val="clear" w:color="auto" w:fill="FFFFFF"/>
            <w:noWrap/>
            <w:tcMar>
              <w:top w:w="75" w:type="dxa"/>
              <w:left w:w="75" w:type="dxa"/>
              <w:bottom w:w="75" w:type="dxa"/>
              <w:right w:w="75" w:type="dxa"/>
            </w:tcMar>
          </w:tcPr>
          <w:p w14:paraId="3CB13296" w14:textId="77777777" w:rsidR="004D3A7D" w:rsidRDefault="000403D9">
            <w:r>
              <w:lastRenderedPageBreak/>
              <w:t>Dace Balgalve (VARAM)</w:t>
            </w:r>
          </w:p>
          <w:p w14:paraId="7C43569E" w14:textId="77777777" w:rsidR="00E362D0" w:rsidRDefault="00E362D0"/>
          <w:p w14:paraId="58D7D7D5" w14:textId="77777777" w:rsidR="00E362D0" w:rsidRDefault="00E362D0"/>
          <w:p w14:paraId="242E317E" w14:textId="77777777" w:rsidR="00E362D0" w:rsidRDefault="00E362D0"/>
          <w:p w14:paraId="387233AA" w14:textId="77777777" w:rsidR="00E362D0" w:rsidRDefault="00E362D0"/>
          <w:p w14:paraId="52BF1EC7" w14:textId="77777777" w:rsidR="00E362D0" w:rsidRDefault="00E362D0"/>
          <w:p w14:paraId="4129C137" w14:textId="77777777" w:rsidR="00E362D0" w:rsidRDefault="00E362D0"/>
          <w:p w14:paraId="0F34B196" w14:textId="77777777" w:rsidR="00E362D0" w:rsidRDefault="00E362D0"/>
          <w:p w14:paraId="15B34DC5" w14:textId="77777777" w:rsidR="00E362D0" w:rsidRDefault="00E362D0"/>
          <w:p w14:paraId="1A702230" w14:textId="77777777" w:rsidR="00E362D0" w:rsidRDefault="00E362D0"/>
          <w:p w14:paraId="50CD8D01" w14:textId="77777777" w:rsidR="00E362D0" w:rsidRDefault="00E362D0"/>
          <w:p w14:paraId="424A5190" w14:textId="77777777" w:rsidR="00E362D0" w:rsidRDefault="00E362D0"/>
          <w:p w14:paraId="6C03B95B" w14:textId="77777777" w:rsidR="00E362D0" w:rsidRDefault="00E362D0"/>
          <w:p w14:paraId="7A1EBA9F" w14:textId="77777777" w:rsidR="00E362D0" w:rsidRDefault="00E362D0"/>
          <w:p w14:paraId="4761DA60" w14:textId="77777777" w:rsidR="00E362D0" w:rsidRDefault="00E362D0"/>
          <w:p w14:paraId="6EB85447" w14:textId="77777777" w:rsidR="00E362D0" w:rsidRDefault="00E362D0"/>
          <w:p w14:paraId="26460CF9" w14:textId="77777777" w:rsidR="00E362D0" w:rsidRDefault="00E362D0"/>
          <w:p w14:paraId="24D39585" w14:textId="77777777" w:rsidR="00E362D0" w:rsidRDefault="00E362D0"/>
          <w:p w14:paraId="18D30E7F" w14:textId="77777777" w:rsidR="00E362D0" w:rsidRDefault="00E362D0"/>
          <w:p w14:paraId="6FC93F8E" w14:textId="77777777" w:rsidR="00E362D0" w:rsidRDefault="00E362D0"/>
          <w:p w14:paraId="62A9476D" w14:textId="77777777" w:rsidR="00E362D0" w:rsidRDefault="00E362D0"/>
          <w:p w14:paraId="36A022D9" w14:textId="77777777" w:rsidR="00E362D0" w:rsidRDefault="00E362D0"/>
          <w:p w14:paraId="2E9330E1" w14:textId="77777777" w:rsidR="00E362D0" w:rsidRDefault="00E362D0"/>
          <w:p w14:paraId="6BC8F3A8" w14:textId="77777777" w:rsidR="00E362D0" w:rsidRDefault="00E362D0"/>
          <w:p w14:paraId="6AFE1D0F" w14:textId="77777777" w:rsidR="00E362D0" w:rsidRDefault="00E362D0"/>
          <w:p w14:paraId="6E5455E6" w14:textId="77777777" w:rsidR="00E362D0" w:rsidRDefault="00E362D0"/>
          <w:p w14:paraId="53690F0D" w14:textId="77777777" w:rsidR="00E362D0" w:rsidRDefault="00E362D0"/>
          <w:p w14:paraId="5FEFEDC5" w14:textId="77777777" w:rsidR="00E362D0" w:rsidRDefault="00E362D0"/>
          <w:p w14:paraId="0BBE6D61" w14:textId="77777777" w:rsidR="00E362D0" w:rsidRDefault="00E362D0"/>
          <w:p w14:paraId="1FE92B0D" w14:textId="77777777" w:rsidR="00E362D0" w:rsidRDefault="00E362D0"/>
          <w:p w14:paraId="68DE8D85" w14:textId="77777777" w:rsidR="00E362D0" w:rsidRDefault="00E362D0"/>
          <w:p w14:paraId="2BF42808" w14:textId="77777777" w:rsidR="00E362D0" w:rsidRDefault="00E362D0"/>
          <w:p w14:paraId="1F81097F" w14:textId="77777777" w:rsidR="00E362D0" w:rsidRDefault="00E362D0"/>
          <w:p w14:paraId="6228DB4B" w14:textId="77777777" w:rsidR="00E362D0" w:rsidRDefault="00E362D0"/>
          <w:p w14:paraId="27C6A29D" w14:textId="77777777" w:rsidR="00E362D0" w:rsidRDefault="00E362D0"/>
          <w:p w14:paraId="1926983A" w14:textId="77777777" w:rsidR="00E362D0" w:rsidRDefault="00E362D0"/>
          <w:p w14:paraId="45752AD3" w14:textId="77777777" w:rsidR="00E362D0" w:rsidRDefault="00E362D0"/>
          <w:p w14:paraId="70CCDFD3" w14:textId="77777777" w:rsidR="00E362D0" w:rsidRDefault="00E362D0"/>
          <w:p w14:paraId="4BC566C5" w14:textId="77777777" w:rsidR="00E362D0" w:rsidRDefault="00E362D0"/>
          <w:p w14:paraId="1B051C81" w14:textId="77777777" w:rsidR="00E362D0" w:rsidRDefault="00E362D0"/>
          <w:p w14:paraId="1853B701" w14:textId="77777777" w:rsidR="00E362D0" w:rsidRDefault="00E362D0"/>
          <w:p w14:paraId="488A4647" w14:textId="77777777" w:rsidR="00E362D0" w:rsidRDefault="00E362D0"/>
          <w:p w14:paraId="7BCF9591" w14:textId="77777777" w:rsidR="00E362D0" w:rsidRDefault="00E362D0">
            <w:r>
              <w:t>Linda Tēraude</w:t>
            </w:r>
          </w:p>
          <w:p w14:paraId="2F477368" w14:textId="7E366CC1" w:rsidR="00E362D0" w:rsidRDefault="00E362D0">
            <w:r>
              <w:t>(EM)</w:t>
            </w:r>
          </w:p>
        </w:tc>
      </w:tr>
    </w:tbl>
    <w:p w14:paraId="56A8DDD1" w14:textId="77777777" w:rsidR="000403D9" w:rsidRDefault="000403D9"/>
    <w:sectPr w:rsidR="000403D9">
      <w:headerReference w:type="default" r:id="rId7"/>
      <w:footerReference w:type="default" r:id="rId8"/>
      <w:headerReference w:type="first" r:id="rId9"/>
      <w:footerReference w:type="first" r:id="rId10"/>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6ACE0" w14:textId="77777777" w:rsidR="000403D9" w:rsidRDefault="000403D9">
      <w:r>
        <w:separator/>
      </w:r>
    </w:p>
  </w:endnote>
  <w:endnote w:type="continuationSeparator" w:id="0">
    <w:p w14:paraId="294AD77A" w14:textId="77777777" w:rsidR="000403D9" w:rsidRDefault="00040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17D79" w14:textId="77777777" w:rsidR="004D3A7D" w:rsidRDefault="000403D9">
    <w:pPr>
      <w:jc w:val="right"/>
    </w:pPr>
    <w:r>
      <w:rPr>
        <w:szCs w:val="24"/>
      </w:rPr>
      <w:fldChar w:fldCharType="begin"/>
    </w:r>
    <w:r>
      <w:rPr>
        <w:szCs w:val="24"/>
      </w:rPr>
      <w:instrText>PAGE</w:instrText>
    </w:r>
    <w:r>
      <w:rPr>
        <w:szCs w:val="24"/>
      </w:rPr>
      <w:fldChar w:fldCharType="separate"/>
    </w:r>
    <w:r>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E8DBD" w14:textId="77777777" w:rsidR="000403D9" w:rsidRDefault="000403D9">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69B58" w14:textId="77777777" w:rsidR="000403D9" w:rsidRDefault="000403D9">
      <w:r>
        <w:separator/>
      </w:r>
    </w:p>
  </w:footnote>
  <w:footnote w:type="continuationSeparator" w:id="0">
    <w:p w14:paraId="4EA6F94A" w14:textId="77777777" w:rsidR="000403D9" w:rsidRDefault="00040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8EED4" w14:textId="77777777" w:rsidR="004D3A7D" w:rsidRDefault="000403D9">
    <w:pPr>
      <w:pStyle w:val="Header"/>
      <w:contextualSpacing w:val="0"/>
    </w:pPr>
    <w:r>
      <w:t>Atzinumi 25-TA-2347</w:t>
    </w:r>
    <w:r>
      <w:br/>
      <w:t>Izdrukāts 02.02.2026. 10.19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ED914" w14:textId="77777777" w:rsidR="004D3A7D" w:rsidRDefault="000403D9">
    <w:pPr>
      <w:pStyle w:val="Header"/>
      <w:contextualSpacing w:val="0"/>
    </w:pPr>
    <w:r>
      <w:t>Atzinumi 25-TA-2347</w:t>
    </w:r>
    <w:r>
      <w:br/>
      <w:t>Izdrukāts 02.02.2026. 10.19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B30E4"/>
    <w:multiLevelType w:val="hybridMultilevel"/>
    <w:tmpl w:val="C3B81824"/>
    <w:lvl w:ilvl="0" w:tplc="6A665992">
      <w:start w:val="1"/>
      <w:numFmt w:val="bullet"/>
      <w:lvlText w:val=""/>
      <w:lvlJc w:val="left"/>
      <w:pPr>
        <w:ind w:left="1080" w:hanging="360"/>
      </w:pPr>
      <w:rPr>
        <w:rFonts w:ascii="Symbol" w:hAnsi="Symbol"/>
      </w:rPr>
    </w:lvl>
    <w:lvl w:ilvl="1" w:tplc="BFD255C6">
      <w:start w:val="1"/>
      <w:numFmt w:val="bullet"/>
      <w:lvlText w:val=""/>
      <w:lvlJc w:val="left"/>
      <w:pPr>
        <w:ind w:left="1080" w:hanging="360"/>
      </w:pPr>
      <w:rPr>
        <w:rFonts w:ascii="Symbol" w:hAnsi="Symbol"/>
      </w:rPr>
    </w:lvl>
    <w:lvl w:ilvl="2" w:tplc="01742118">
      <w:start w:val="1"/>
      <w:numFmt w:val="bullet"/>
      <w:lvlText w:val=""/>
      <w:lvlJc w:val="left"/>
      <w:pPr>
        <w:ind w:left="1080" w:hanging="360"/>
      </w:pPr>
      <w:rPr>
        <w:rFonts w:ascii="Symbol" w:hAnsi="Symbol"/>
      </w:rPr>
    </w:lvl>
    <w:lvl w:ilvl="3" w:tplc="F5EAB3D4">
      <w:start w:val="1"/>
      <w:numFmt w:val="bullet"/>
      <w:lvlText w:val=""/>
      <w:lvlJc w:val="left"/>
      <w:pPr>
        <w:ind w:left="1080" w:hanging="360"/>
      </w:pPr>
      <w:rPr>
        <w:rFonts w:ascii="Symbol" w:hAnsi="Symbol"/>
      </w:rPr>
    </w:lvl>
    <w:lvl w:ilvl="4" w:tplc="4AC018CE">
      <w:start w:val="1"/>
      <w:numFmt w:val="bullet"/>
      <w:lvlText w:val=""/>
      <w:lvlJc w:val="left"/>
      <w:pPr>
        <w:ind w:left="1080" w:hanging="360"/>
      </w:pPr>
      <w:rPr>
        <w:rFonts w:ascii="Symbol" w:hAnsi="Symbol"/>
      </w:rPr>
    </w:lvl>
    <w:lvl w:ilvl="5" w:tplc="DCE83478">
      <w:start w:val="1"/>
      <w:numFmt w:val="bullet"/>
      <w:lvlText w:val=""/>
      <w:lvlJc w:val="left"/>
      <w:pPr>
        <w:ind w:left="1080" w:hanging="360"/>
      </w:pPr>
      <w:rPr>
        <w:rFonts w:ascii="Symbol" w:hAnsi="Symbol"/>
      </w:rPr>
    </w:lvl>
    <w:lvl w:ilvl="6" w:tplc="6F965B3C">
      <w:start w:val="1"/>
      <w:numFmt w:val="bullet"/>
      <w:lvlText w:val=""/>
      <w:lvlJc w:val="left"/>
      <w:pPr>
        <w:ind w:left="1080" w:hanging="360"/>
      </w:pPr>
      <w:rPr>
        <w:rFonts w:ascii="Symbol" w:hAnsi="Symbol"/>
      </w:rPr>
    </w:lvl>
    <w:lvl w:ilvl="7" w:tplc="A9A21886">
      <w:start w:val="1"/>
      <w:numFmt w:val="bullet"/>
      <w:lvlText w:val=""/>
      <w:lvlJc w:val="left"/>
      <w:pPr>
        <w:ind w:left="1080" w:hanging="360"/>
      </w:pPr>
      <w:rPr>
        <w:rFonts w:ascii="Symbol" w:hAnsi="Symbol"/>
      </w:rPr>
    </w:lvl>
    <w:lvl w:ilvl="8" w:tplc="198EB13C">
      <w:start w:val="1"/>
      <w:numFmt w:val="bullet"/>
      <w:lvlText w:val=""/>
      <w:lvlJc w:val="left"/>
      <w:pPr>
        <w:ind w:left="1080" w:hanging="360"/>
      </w:pPr>
      <w:rPr>
        <w:rFonts w:ascii="Symbol" w:hAnsi="Symbol"/>
      </w:rPr>
    </w:lvl>
  </w:abstractNum>
  <w:abstractNum w:abstractNumId="1" w15:restartNumberingAfterBreak="0">
    <w:nsid w:val="33660313"/>
    <w:multiLevelType w:val="hybridMultilevel"/>
    <w:tmpl w:val="1C3C7DAE"/>
    <w:lvl w:ilvl="0" w:tplc="E326D0D2">
      <w:start w:val="1"/>
      <w:numFmt w:val="bullet"/>
      <w:lvlText w:val=""/>
      <w:lvlJc w:val="left"/>
      <w:pPr>
        <w:ind w:left="1080" w:hanging="360"/>
      </w:pPr>
      <w:rPr>
        <w:rFonts w:ascii="Symbol" w:hAnsi="Symbol"/>
      </w:rPr>
    </w:lvl>
    <w:lvl w:ilvl="1" w:tplc="8974CB76">
      <w:start w:val="1"/>
      <w:numFmt w:val="bullet"/>
      <w:lvlText w:val=""/>
      <w:lvlJc w:val="left"/>
      <w:pPr>
        <w:ind w:left="1080" w:hanging="360"/>
      </w:pPr>
      <w:rPr>
        <w:rFonts w:ascii="Symbol" w:hAnsi="Symbol"/>
      </w:rPr>
    </w:lvl>
    <w:lvl w:ilvl="2" w:tplc="189A5076">
      <w:start w:val="1"/>
      <w:numFmt w:val="bullet"/>
      <w:lvlText w:val=""/>
      <w:lvlJc w:val="left"/>
      <w:pPr>
        <w:ind w:left="1080" w:hanging="360"/>
      </w:pPr>
      <w:rPr>
        <w:rFonts w:ascii="Symbol" w:hAnsi="Symbol"/>
      </w:rPr>
    </w:lvl>
    <w:lvl w:ilvl="3" w:tplc="3EFC936C">
      <w:start w:val="1"/>
      <w:numFmt w:val="bullet"/>
      <w:lvlText w:val=""/>
      <w:lvlJc w:val="left"/>
      <w:pPr>
        <w:ind w:left="1080" w:hanging="360"/>
      </w:pPr>
      <w:rPr>
        <w:rFonts w:ascii="Symbol" w:hAnsi="Symbol"/>
      </w:rPr>
    </w:lvl>
    <w:lvl w:ilvl="4" w:tplc="33023E4E">
      <w:start w:val="1"/>
      <w:numFmt w:val="bullet"/>
      <w:lvlText w:val=""/>
      <w:lvlJc w:val="left"/>
      <w:pPr>
        <w:ind w:left="1080" w:hanging="360"/>
      </w:pPr>
      <w:rPr>
        <w:rFonts w:ascii="Symbol" w:hAnsi="Symbol"/>
      </w:rPr>
    </w:lvl>
    <w:lvl w:ilvl="5" w:tplc="8B44351C">
      <w:start w:val="1"/>
      <w:numFmt w:val="bullet"/>
      <w:lvlText w:val=""/>
      <w:lvlJc w:val="left"/>
      <w:pPr>
        <w:ind w:left="1080" w:hanging="360"/>
      </w:pPr>
      <w:rPr>
        <w:rFonts w:ascii="Symbol" w:hAnsi="Symbol"/>
      </w:rPr>
    </w:lvl>
    <w:lvl w:ilvl="6" w:tplc="E6BE8BE0">
      <w:start w:val="1"/>
      <w:numFmt w:val="bullet"/>
      <w:lvlText w:val=""/>
      <w:lvlJc w:val="left"/>
      <w:pPr>
        <w:ind w:left="1080" w:hanging="360"/>
      </w:pPr>
      <w:rPr>
        <w:rFonts w:ascii="Symbol" w:hAnsi="Symbol"/>
      </w:rPr>
    </w:lvl>
    <w:lvl w:ilvl="7" w:tplc="A34E9982">
      <w:start w:val="1"/>
      <w:numFmt w:val="bullet"/>
      <w:lvlText w:val=""/>
      <w:lvlJc w:val="left"/>
      <w:pPr>
        <w:ind w:left="1080" w:hanging="360"/>
      </w:pPr>
      <w:rPr>
        <w:rFonts w:ascii="Symbol" w:hAnsi="Symbol"/>
      </w:rPr>
    </w:lvl>
    <w:lvl w:ilvl="8" w:tplc="BCE2AFEC">
      <w:start w:val="1"/>
      <w:numFmt w:val="bullet"/>
      <w:lvlText w:val=""/>
      <w:lvlJc w:val="left"/>
      <w:pPr>
        <w:ind w:left="1080" w:hanging="360"/>
      </w:pPr>
      <w:rPr>
        <w:rFonts w:ascii="Symbol" w:hAnsi="Symbol"/>
      </w:rPr>
    </w:lvl>
  </w:abstractNum>
  <w:abstractNum w:abstractNumId="2" w15:restartNumberingAfterBreak="0">
    <w:nsid w:val="36FC228C"/>
    <w:multiLevelType w:val="hybridMultilevel"/>
    <w:tmpl w:val="1E4CB290"/>
    <w:lvl w:ilvl="0" w:tplc="B2805872">
      <w:start w:val="1"/>
      <w:numFmt w:val="bullet"/>
      <w:lvlText w:val=""/>
      <w:lvlJc w:val="left"/>
      <w:pPr>
        <w:ind w:left="1080" w:hanging="360"/>
      </w:pPr>
      <w:rPr>
        <w:rFonts w:ascii="Symbol" w:hAnsi="Symbol"/>
      </w:rPr>
    </w:lvl>
    <w:lvl w:ilvl="1" w:tplc="AA74B57C">
      <w:start w:val="1"/>
      <w:numFmt w:val="bullet"/>
      <w:lvlText w:val=""/>
      <w:lvlJc w:val="left"/>
      <w:pPr>
        <w:ind w:left="1080" w:hanging="360"/>
      </w:pPr>
      <w:rPr>
        <w:rFonts w:ascii="Symbol" w:hAnsi="Symbol"/>
      </w:rPr>
    </w:lvl>
    <w:lvl w:ilvl="2" w:tplc="FCFC1958">
      <w:start w:val="1"/>
      <w:numFmt w:val="bullet"/>
      <w:lvlText w:val=""/>
      <w:lvlJc w:val="left"/>
      <w:pPr>
        <w:ind w:left="1080" w:hanging="360"/>
      </w:pPr>
      <w:rPr>
        <w:rFonts w:ascii="Symbol" w:hAnsi="Symbol"/>
      </w:rPr>
    </w:lvl>
    <w:lvl w:ilvl="3" w:tplc="83E44298">
      <w:start w:val="1"/>
      <w:numFmt w:val="bullet"/>
      <w:lvlText w:val=""/>
      <w:lvlJc w:val="left"/>
      <w:pPr>
        <w:ind w:left="1080" w:hanging="360"/>
      </w:pPr>
      <w:rPr>
        <w:rFonts w:ascii="Symbol" w:hAnsi="Symbol"/>
      </w:rPr>
    </w:lvl>
    <w:lvl w:ilvl="4" w:tplc="0D26C052">
      <w:start w:val="1"/>
      <w:numFmt w:val="bullet"/>
      <w:lvlText w:val=""/>
      <w:lvlJc w:val="left"/>
      <w:pPr>
        <w:ind w:left="1080" w:hanging="360"/>
      </w:pPr>
      <w:rPr>
        <w:rFonts w:ascii="Symbol" w:hAnsi="Symbol"/>
      </w:rPr>
    </w:lvl>
    <w:lvl w:ilvl="5" w:tplc="9DE24EC8">
      <w:start w:val="1"/>
      <w:numFmt w:val="bullet"/>
      <w:lvlText w:val=""/>
      <w:lvlJc w:val="left"/>
      <w:pPr>
        <w:ind w:left="1080" w:hanging="360"/>
      </w:pPr>
      <w:rPr>
        <w:rFonts w:ascii="Symbol" w:hAnsi="Symbol"/>
      </w:rPr>
    </w:lvl>
    <w:lvl w:ilvl="6" w:tplc="AEC8E182">
      <w:start w:val="1"/>
      <w:numFmt w:val="bullet"/>
      <w:lvlText w:val=""/>
      <w:lvlJc w:val="left"/>
      <w:pPr>
        <w:ind w:left="1080" w:hanging="360"/>
      </w:pPr>
      <w:rPr>
        <w:rFonts w:ascii="Symbol" w:hAnsi="Symbol"/>
      </w:rPr>
    </w:lvl>
    <w:lvl w:ilvl="7" w:tplc="B57E3474">
      <w:start w:val="1"/>
      <w:numFmt w:val="bullet"/>
      <w:lvlText w:val=""/>
      <w:lvlJc w:val="left"/>
      <w:pPr>
        <w:ind w:left="1080" w:hanging="360"/>
      </w:pPr>
      <w:rPr>
        <w:rFonts w:ascii="Symbol" w:hAnsi="Symbol"/>
      </w:rPr>
    </w:lvl>
    <w:lvl w:ilvl="8" w:tplc="9FA8821E">
      <w:start w:val="1"/>
      <w:numFmt w:val="bullet"/>
      <w:lvlText w:val=""/>
      <w:lvlJc w:val="left"/>
      <w:pPr>
        <w:ind w:left="1080" w:hanging="360"/>
      </w:pPr>
      <w:rPr>
        <w:rFonts w:ascii="Symbol" w:hAnsi="Symbol"/>
      </w:rPr>
    </w:lvl>
  </w:abstractNum>
  <w:abstractNum w:abstractNumId="3" w15:restartNumberingAfterBreak="0">
    <w:nsid w:val="3C802A0A"/>
    <w:multiLevelType w:val="multilevel"/>
    <w:tmpl w:val="11425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3A19DF"/>
    <w:multiLevelType w:val="hybridMultilevel"/>
    <w:tmpl w:val="5BFE79F8"/>
    <w:lvl w:ilvl="0" w:tplc="8FE82562">
      <w:start w:val="1"/>
      <w:numFmt w:val="bullet"/>
      <w:lvlText w:val=""/>
      <w:lvlJc w:val="left"/>
      <w:pPr>
        <w:ind w:left="1080" w:hanging="360"/>
      </w:pPr>
      <w:rPr>
        <w:rFonts w:ascii="Symbol" w:hAnsi="Symbol"/>
      </w:rPr>
    </w:lvl>
    <w:lvl w:ilvl="1" w:tplc="ACDE6910">
      <w:start w:val="1"/>
      <w:numFmt w:val="bullet"/>
      <w:lvlText w:val=""/>
      <w:lvlJc w:val="left"/>
      <w:pPr>
        <w:ind w:left="1080" w:hanging="360"/>
      </w:pPr>
      <w:rPr>
        <w:rFonts w:ascii="Symbol" w:hAnsi="Symbol"/>
      </w:rPr>
    </w:lvl>
    <w:lvl w:ilvl="2" w:tplc="E0AA8D4A">
      <w:start w:val="1"/>
      <w:numFmt w:val="bullet"/>
      <w:lvlText w:val=""/>
      <w:lvlJc w:val="left"/>
      <w:pPr>
        <w:ind w:left="1080" w:hanging="360"/>
      </w:pPr>
      <w:rPr>
        <w:rFonts w:ascii="Symbol" w:hAnsi="Symbol"/>
      </w:rPr>
    </w:lvl>
    <w:lvl w:ilvl="3" w:tplc="F6D8634C">
      <w:start w:val="1"/>
      <w:numFmt w:val="bullet"/>
      <w:lvlText w:val=""/>
      <w:lvlJc w:val="left"/>
      <w:pPr>
        <w:ind w:left="1080" w:hanging="360"/>
      </w:pPr>
      <w:rPr>
        <w:rFonts w:ascii="Symbol" w:hAnsi="Symbol"/>
      </w:rPr>
    </w:lvl>
    <w:lvl w:ilvl="4" w:tplc="E4FC507E">
      <w:start w:val="1"/>
      <w:numFmt w:val="bullet"/>
      <w:lvlText w:val=""/>
      <w:lvlJc w:val="left"/>
      <w:pPr>
        <w:ind w:left="1080" w:hanging="360"/>
      </w:pPr>
      <w:rPr>
        <w:rFonts w:ascii="Symbol" w:hAnsi="Symbol"/>
      </w:rPr>
    </w:lvl>
    <w:lvl w:ilvl="5" w:tplc="69B01DE0">
      <w:start w:val="1"/>
      <w:numFmt w:val="bullet"/>
      <w:lvlText w:val=""/>
      <w:lvlJc w:val="left"/>
      <w:pPr>
        <w:ind w:left="1080" w:hanging="360"/>
      </w:pPr>
      <w:rPr>
        <w:rFonts w:ascii="Symbol" w:hAnsi="Symbol"/>
      </w:rPr>
    </w:lvl>
    <w:lvl w:ilvl="6" w:tplc="7EE20A50">
      <w:start w:val="1"/>
      <w:numFmt w:val="bullet"/>
      <w:lvlText w:val=""/>
      <w:lvlJc w:val="left"/>
      <w:pPr>
        <w:ind w:left="1080" w:hanging="360"/>
      </w:pPr>
      <w:rPr>
        <w:rFonts w:ascii="Symbol" w:hAnsi="Symbol"/>
      </w:rPr>
    </w:lvl>
    <w:lvl w:ilvl="7" w:tplc="17C8C7E6">
      <w:start w:val="1"/>
      <w:numFmt w:val="bullet"/>
      <w:lvlText w:val=""/>
      <w:lvlJc w:val="left"/>
      <w:pPr>
        <w:ind w:left="1080" w:hanging="360"/>
      </w:pPr>
      <w:rPr>
        <w:rFonts w:ascii="Symbol" w:hAnsi="Symbol"/>
      </w:rPr>
    </w:lvl>
    <w:lvl w:ilvl="8" w:tplc="51189676">
      <w:start w:val="1"/>
      <w:numFmt w:val="bullet"/>
      <w:lvlText w:val=""/>
      <w:lvlJc w:val="left"/>
      <w:pPr>
        <w:ind w:left="1080" w:hanging="360"/>
      </w:pPr>
      <w:rPr>
        <w:rFonts w:ascii="Symbol" w:hAnsi="Symbol"/>
      </w:rPr>
    </w:lvl>
  </w:abstractNum>
  <w:abstractNum w:abstractNumId="5" w15:restartNumberingAfterBreak="0">
    <w:nsid w:val="60F5669C"/>
    <w:multiLevelType w:val="multilevel"/>
    <w:tmpl w:val="95DC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332524">
    <w:abstractNumId w:val="1"/>
  </w:num>
  <w:num w:numId="2" w16cid:durableId="328367905">
    <w:abstractNumId w:val="2"/>
  </w:num>
  <w:num w:numId="3" w16cid:durableId="1820877604">
    <w:abstractNumId w:val="0"/>
  </w:num>
  <w:num w:numId="4" w16cid:durableId="1832023910">
    <w:abstractNumId w:val="4"/>
  </w:num>
  <w:num w:numId="5" w16cid:durableId="902957712">
    <w:abstractNumId w:val="3"/>
  </w:num>
  <w:num w:numId="6" w16cid:durableId="15728090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A7D"/>
    <w:rsid w:val="000403D9"/>
    <w:rsid w:val="001B47D6"/>
    <w:rsid w:val="004D3A7D"/>
    <w:rsid w:val="00561FD5"/>
    <w:rsid w:val="005D2D52"/>
    <w:rsid w:val="00682F82"/>
    <w:rsid w:val="00E362D0"/>
    <w:rsid w:val="00F047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E87E9"/>
  <w15:docId w15:val="{73FF9E88-A2CC-4101-B5E8-EBE0D3012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before="280"/>
      <w:contextualSpacing/>
    </w:pPr>
    <w:rPr>
      <w:b/>
    </w:rPr>
  </w:style>
  <w:style w:type="paragraph" w:styleId="Header">
    <w:name w:val="header"/>
    <w:basedOn w:val="Normal"/>
    <w:next w:val="Normal"/>
    <w:pPr>
      <w:spacing w:after="280"/>
      <w:contextualSpacing/>
      <w:jc w:val="right"/>
    </w:pPr>
  </w:style>
  <w:style w:type="paragraph" w:customStyle="1" w:styleId="boldparagraph">
    <w:name w:val="bold_paragraph"/>
    <w:basedOn w:val="Normal"/>
    <w:next w:val="Normal"/>
    <w:pPr>
      <w:contextualSpacing/>
    </w:pPr>
    <w:rPr>
      <w:b/>
    </w:rPr>
  </w:style>
  <w:style w:type="table" w:customStyle="1" w:styleId="a">
    <w:basedOn w:val="TableNormal"/>
    <w:tblPr>
      <w:tblStyleRowBandSize w:val="1"/>
      <w:tblStyleColBandSize w:val="1"/>
    </w:tblPr>
  </w:style>
  <w:style w:type="character" w:styleId="CommentReference">
    <w:name w:val="annotation reference"/>
    <w:basedOn w:val="DefaultParagraphFont"/>
    <w:uiPriority w:val="99"/>
    <w:semiHidden/>
    <w:unhideWhenUsed/>
    <w:rsid w:val="000403D9"/>
    <w:rPr>
      <w:sz w:val="16"/>
      <w:szCs w:val="16"/>
    </w:rPr>
  </w:style>
  <w:style w:type="paragraph" w:styleId="CommentText">
    <w:name w:val="annotation text"/>
    <w:basedOn w:val="Normal"/>
    <w:link w:val="CommentTextChar"/>
    <w:uiPriority w:val="99"/>
    <w:unhideWhenUsed/>
    <w:rsid w:val="000403D9"/>
    <w:rPr>
      <w:sz w:val="20"/>
    </w:rPr>
  </w:style>
  <w:style w:type="character" w:customStyle="1" w:styleId="CommentTextChar">
    <w:name w:val="Comment Text Char"/>
    <w:basedOn w:val="DefaultParagraphFont"/>
    <w:link w:val="CommentText"/>
    <w:uiPriority w:val="99"/>
    <w:rsid w:val="000403D9"/>
    <w:rPr>
      <w:sz w:val="20"/>
    </w:rPr>
  </w:style>
  <w:style w:type="paragraph" w:styleId="CommentSubject">
    <w:name w:val="annotation subject"/>
    <w:basedOn w:val="CommentText"/>
    <w:next w:val="CommentText"/>
    <w:link w:val="CommentSubjectChar"/>
    <w:uiPriority w:val="99"/>
    <w:semiHidden/>
    <w:unhideWhenUsed/>
    <w:rsid w:val="000403D9"/>
    <w:rPr>
      <w:b/>
      <w:bCs/>
    </w:rPr>
  </w:style>
  <w:style w:type="character" w:customStyle="1" w:styleId="CommentSubjectChar">
    <w:name w:val="Comment Subject Char"/>
    <w:basedOn w:val="CommentTextChar"/>
    <w:link w:val="CommentSubject"/>
    <w:uiPriority w:val="99"/>
    <w:semiHidden/>
    <w:rsid w:val="000403D9"/>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814</Words>
  <Characters>6002</Characters>
  <Application>Microsoft Office Word</Application>
  <DocSecurity>0</DocSecurity>
  <Lines>222</Lines>
  <Paragraphs>97</Paragraphs>
  <ScaleCrop>false</ScaleCrop>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Atzinumi_25-TA-2347.docx</dc:title>
  <dc:creator>Linda Tēraude</dc:creator>
  <cp:lastModifiedBy>Linda Tēraude</cp:lastModifiedBy>
  <cp:revision>6</cp:revision>
  <dcterms:created xsi:type="dcterms:W3CDTF">2026-02-03T08:09:00Z</dcterms:created>
  <dcterms:modified xsi:type="dcterms:W3CDTF">2026-02-03T08:57:00Z</dcterms:modified>
</cp:coreProperties>
</file>