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un to darbībai nepieciešamo informācijas un komunikācijas tehnoloģiju resursu un pakalpojumu attīstības aktivitāšu un likvidēšanas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17.03.2023.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17.03.2023.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