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noteikumu projekta ieviešanas/izstrādes izpildei nepieciešamais finansējums 2024.gadā tika nodrošināts no valsts budžeta apakšprogrammas 21.02.00 “Vides aizsardzības projekti”, vienlaikus anotācijas 3.sadaļas 6.punktā ir norādītas arī LVĢMC ikgadējās izmaksas, sākot ar 2026. gadu, LVĢMC izmaksas Jūras krasta līnijas regulārā atjaunošanā un augstākās bangas pārrēķinā, kā arī lāzerskanēšana ar LVĢMC drona palīdzību visvairāk ietekmētajām teritorijām, tomēr nav sniegta informācija, no kādiem līdzekļiem tās tiks nodrošinātas. Norādām, ka likumprojekts “Par valsts budžetu 2026. gadam un budžeta ietvaru 2026., 2027. un 2028. gadam” ir atbalstīts Saeimā 1.lasījumā un šobrīd tiek gatavots izskatīšanai galīgajā 2.lasījumā, attiecīgi noteikumu projekta īstenošana ir jānodrošina esošo budžeta līdzekļu ietvaros, jo nav atbalstāma tādu noteikumu projektu virzība, kuram ir negatīva ietekme uz valsts budžetu un nav piedāvāts risinājums par finansējuma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sniegto informāciju, norādot valsts budžeta programmas vai apakšprogrammas, kuru ietvaros finansējums arī pārējām minētajām izmaksām tiks nodrošināts, kā arī precizēt ailēs “saskaņā ar valsts budžetu kārtējam gadam” un “saskaņā ar vidēja termiņa budžeta ietvaru” norādīto informāciju, aizpildot arī 1.1. apakšpunktu, kā arī kā kārtējo gadu norādīt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6.punkta pēdējā rindkopā, ja iestājas situācija par ārkārtas uzmērīšanu, precizēt norādi par iespējamību finansējumu pieprasīt finansējumu no budžeta programmas “Līdzekļi neparedzētiem gadījumiem”, jo arī situācijā, ja rodas neparedzēti gadījumi, primāri ir jāvērtē esošo līdzekļu pieejamība un iespējas nodrošināt finansējumu to ietvaros, ņemot vērā, ka plānotās izmaksas ir salīdzinoši nelielas, un tikai tad gatavot pieprasījumu no programmas “Līdzekļi neparedzētiem gadījumiem”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20.11.2025.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20.11.2025.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