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virs to īpašumā, valdījumā vai lietojumā esošajiem infrastruktūras objektiem, bet horizontālā plaknē – līdz 50 m vai gadījumā, ja infrastruktūras objekts saistīts ar būtiskām valsts un sabiedrības drošības interesēm, – līdz 500 m no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kas noteikumu projekta 27.1. un 32.1. apakšpunktā ir domāts ar būtiskām valsts un sabiedrības drošības interesēm, nepieciešamības gadījumā anotācijā sniedzot konkrētus piemērus, vai alternatīvi lūdzam svītrot norādi uz attiecīgo interešu būtiskumu, ņemot vērā, ka minētā norāde varētu būt pārāk subjektīva un apgrūtinoši piemērojama praksē. Tostarp lūdzam arī izvērtēt un skaidrot, ar ko minētās intereses atšķiras no 32.3. apakšpunktā minētajām valsts drošības interesēm un vai nedublējas attiecīgais tiesiskais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12.03.2024. 23.13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12.03.2024. 23.13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