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digitālo investīciju komisijas ekspertiem ir paredzētas būtiskas funkcijas – tie izskata trešā līmeņa un stratēģiskās aktivitātes, vērtē to prioritāti kopējā valsts investīciju portfelī un sniedz atzinumu pirms turpmāka lēmuma pieņemšanas par attiecīgās aktivitātes finansēšanu vai apstiprināšanu. Tāpat noteikumu projekta 10. punkts paredz Valsts digitālo investīciju komisijā iekļaut dažādu jomu ekspertus, kuru profesionālā darbība, cita starpā, varētu būt saistīta ar attiecīgās aktivitātes iespējamiem īstenotājiem, potenciālajiem piegādātājiem, konsultantiem vai risinājumu izstrādātājiem u.tml. Lai novērstu iespējamu faktisku vai šķietamu interešu konfliktu, ko var radīt ekspertu personiskās, profesionālās vai komerciālās saiknes ar IKT tirgus dalībniekiem, KNAB ieskatā būtu nepieciešams papildināt noteikumu projekta 9.–11. punktā paredzēto Valsts digitālo investīciju komisijas regulējumu, īpašu uzmanību pievēršot Valsts digitālo investīciju komisijas ekspertu neatkarības nodrošināšanai un interešu konflikta novēršanai. Tāpat būtu nepieciešams nodrošināt, ka visu Valsts digitālo investīciju komisijas ekspertu atlases process, tostarp informācijas par iespējamiem interešu konfliktiem pārbaude un tās rezultāti, tiek pienācīgi dokumentēts, lai nodrošinātu procesa pārskatāmību un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16.09.2026.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16.09.2026.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