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"Mirstības mazināšana ārēju nāves cēloņu (ĀNC) dēļ  - 2024."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vērš uzmanību, ka informatīvā ziņojuma 3. sadaļas "Transporta nelaimes gadījumi" apakšsadaļā "Galvenie īstenotie pasākumi" veikto pasākumu uzskaitījums ir ļoti nepilnīgs un neatspoguļo līdzšinējo institūciju un nevalstisko organizāciju paveikto satiksmes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pēdējo divu gadu laikā Satiksmes ministrija ir organizējusi vismaz 13 Ceļu satiksmes drošības padomes domnīcas, kurās piedalījušies gan dažādu ministriju, pašvaldību un nevalstisko organizāciju pārstāvji, gan augstāko izglītības iestāžu pasniedzēji, ārstniecības iestāžu pārstāvji, pētnieki, psihologi un uzņēmējdarbības nozarē darbojošies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Šajās domnīcās diskutēts gan par nepieciešamajām izmaiņām normatīvajos aktos attiecībā uz transportlīdzekļu tehnisko aprīkojumu, esošo tiesību normu pārskatīšanu attiecībā uz mazaisargāto ceļu satiksmes dalībnieku drošības paaugstināšanu ne tikai saistībā ar dalības ceļu satiksmē kārtību, bet arī aizsargekipējuma lietošanu, jaunākajiem tehnoloģiskajiem sasniegumiem, autovadītāju emocionālo un psiholoģisko stāvokli un uzvedību uz ceļa, dažādiem ar ceļu satiksmi saistītiem aktuāliem problēmjautājumiem, piemēram, elektroskrejriteņu pieaugošo popularitāti, ceļu satiksmes negadījumiem ar kravas transportlīdzekļiem, sabiedriskā transporta pārvadātāju trūkumu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Četras no domnīcām organizētas sadarbībā ar Saeimas Tautsaimniecības, agrārās, vides un reģionālās politikas komisiju par dažādiem priekšlikumiem grozījumiem Ceļu satiksmes likumā, kas rezultējās ar grozījumiem likumā, kas stājās spēkā 2023. gada 22. jūnijā un bija saistīti gan ar administratīvo sodu politiku, gan transportlīdzekļu definīcijām, to reģistrācijas pienākumiem un prasībām to vadīšanai, piemēram, attiecībā uz velorikšu un elektroskrejriteni.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veiktas izmaiņas Ceļu satiksmes noteikumos, nosakot pienākumu bērniem līdz noteiktam vecumam lietot aizsargķiveri, braucot ar velosipēdu un elektroskrejriteni un precizētas prasības ziemas riepu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2023. gadā Ceļu satiksmes drošības padome apstiprināja finansējuma piešķiršanu 37 projektiem, kuri aptver gan dažādus izglītojošos pasākumus, piemēram, </w:t>
            </w:r>
            <w:r w:rsidR="00000000" w:rsidRPr="00000000" w:rsidDel="00000000">
              <w:rPr>
                <w:i w:val="1"/>
                <w:rtl w:val="0"/>
              </w:rPr>
              <w:t xml:space="preserve">Latvijas Jauno satiksmes dalībnieku forums</w:t>
            </w:r>
            <w:r w:rsidR="00000000" w:rsidRPr="00000000" w:rsidDel="00000000">
              <w:rPr>
                <w:rtl w:val="0"/>
              </w:rPr>
              <w:t xml:space="preserve"> un </w:t>
            </w:r>
            <w:r w:rsidR="00000000" w:rsidRPr="00000000" w:rsidDel="00000000">
              <w:rPr>
                <w:i w:val="1"/>
                <w:rtl w:val="0"/>
              </w:rPr>
              <w:t xml:space="preserve">Bērnu drošība sabiedriskajā transportā</w:t>
            </w:r>
            <w:r w:rsidR="00000000" w:rsidRPr="00000000" w:rsidDel="00000000">
              <w:rPr>
                <w:rtl w:val="0"/>
              </w:rPr>
              <w:t xml:space="preserve">, braukšanas apmācības un informatīvas kampaņas, piemēram, par bērnu un jauniešu drošu dalību ceļu satiksmē vai kampaņa pret transportlīdzekļu vadīšanu reibumā un kampaņa pret ātruma pārsniegšanu ceļu satiksmē, kā arī par saskaņotā paziņojuma aizpildīšanu vai OCTA iegādi. Tāpat finansējums tika piešķirts četru pētījumu veikšanai, piemēram, par drošas distances ievērošanu un apdzīšanas manevriem automobiļu plūsmā ārpus apdzīvotām vietām un par ceļa ainavas un ceļu satiksmes drošības korelāciju, par ceļa ainavas uztveri no ceļu lietotāja puses. Saistībā ar ceļa infrastruktūras uzlabošanu finansējums tika piešķirts, piemēram, ceļa signālstabiņu uzstādīšanai un vidējās ātruma kontroles tehnisko līdzekļu uzstādīšanai.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VP un VRS tika piešķirts finansējums dažāda aprīkojuma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Ceļu satiksmes drošības padome apstiprināja finansējuma piešķiršanu 32 projektiem, piemēram, </w:t>
            </w:r>
            <w:r w:rsidR="00000000" w:rsidRPr="00000000" w:rsidDel="00000000">
              <w:rPr>
                <w:i w:val="1"/>
                <w:rtl w:val="0"/>
              </w:rPr>
              <w:t xml:space="preserve">Smago ceļu satiksmes negadījumu izpētes pilotprojektam, </w:t>
            </w:r>
            <w:r w:rsidR="00000000" w:rsidRPr="00000000" w:rsidDel="00000000">
              <w:rPr>
                <w:rtl w:val="0"/>
              </w:rPr>
              <w:t xml:space="preserve">informatīvi izglītojošai aktivitātei</w:t>
            </w:r>
            <w:r w:rsidR="00000000" w:rsidRPr="00000000" w:rsidDel="00000000">
              <w:rPr>
                <w:i w:val="1"/>
                <w:rtl w:val="0"/>
              </w:rPr>
              <w:t xml:space="preserve"> par videi un cilvēkam drošu moto braukšanu mežos un to apkārtnē </w:t>
            </w:r>
            <w:r w:rsidR="00000000" w:rsidRPr="00000000" w:rsidDel="00000000">
              <w:rPr>
                <w:rtl w:val="0"/>
              </w:rPr>
              <w:t xml:space="preserve">vai tehnisko līdzekļu iegādei, transportlīdzekļu apstādināšanas un pārbaužu pierobežā un valsts iekšienē nodrošināšanai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otro gadu notiek konkurss “Ceļu satiksmes drošības pašvaldību novērtēšanas indekss", kura ietvaros tiek vērtēta ceļu satiksmes drošība pilsētās un novados.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kopā ar citām dalībvalstīm ievāc un analizē datus nacionālā līmenī par pirmajiem astoņiem ceļu satiksmes drošības būtiskajiem veiktspējas indikatoriem (KPI), piemēram, par drošības jostu, bērnu sēdeklīšu, aizsargķiveru lietošanu, atļautā braukšanas ātruma ievērošanu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veikto pasākumu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Saule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26. lapā aizstāt saīsinājumu un vārdus "AS Latvijas Valsts ceļi" ar saīsinājumu "LVC", kas norādīts informatīvā ziņojuma 3.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10.07.2024.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10.07.2024.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Atzinumi_24-TA-1192.docx</dc:title>
</cp:coreProperties>
</file>

<file path=docProps/custom.xml><?xml version="1.0" encoding="utf-8"?>
<Properties xmlns="http://schemas.openxmlformats.org/officeDocument/2006/custom-properties" xmlns:vt="http://schemas.openxmlformats.org/officeDocument/2006/docPropsVTypes"/>
</file>