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ar kapitāla atlaidi lielo investīciju projektu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46.2.3. atbalsta summa nepārsniedz minimumu, kas nepieciešams, lai projekts būtu pietiekami ienesīgs.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MK noteikumu projektā precizēt vai papildus skaidrot, ko 46.2.3. apakšpunktā minētais apgalvojums "</w:t>
            </w:r>
            <w:r w:rsidR="00000000" w:rsidRPr="00000000" w:rsidDel="00000000">
              <w:rPr>
                <w:u w:val="single"/>
                <w:rtl w:val="0"/>
              </w:rPr>
              <w:t xml:space="preserve">pietiekami </w:t>
            </w:r>
            <w:r w:rsidR="00000000" w:rsidRPr="00000000" w:rsidDel="00000000">
              <w:rPr>
                <w:rtl w:val="0"/>
              </w:rPr>
              <w:t xml:space="preserve">ienesīgs", kas var radīt interpretācijas riskus.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Lūsare (DAIF Latvija)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14.10.2025.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14.10.2025.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