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Paātrinātās elektroniskās rindas rezervācijas sistēmas un elektroniskās rindas rezervācijas sistēmas izveide tiek deleģēta valsts akciju sabiedrībai “Latvijas Valsts radio un televīzijas centrs”. Paātrinātās elektroniskās rindas rezervācijas sistēmas un elektroniskās rindas rezervācijas sistēmas pārziņa pienākumi un personas datu apstrādes pārziņa pienākumi tiek deleģēti valsts sabiedrībai ar ierobežotu atbildību “Autotransporta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Eiropas Parlamenta un Padomes 2016. gada 27. aprīļa regulā (ES) 2016/679 par fizisku personu aizsardzību attiecībā uz personas datu apstrādi un šādu datu brīvu apriti un ar ko atceļ direktīvu 95/46/EK (Vispārīgā datu aizsardzības regula), nedz Fizisko personu datu apstrādes likumā, nedz arī Valsts informācijas sistēmu likumā netiek lietots jēdziens "datu apstrādes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anotācijā skaidrot šī jēdziena saturu, vai arī likumā lietot citu jēdzienu, kurš atbilst tiesību aktos personas datu apstrādes jomā lietotiem jēdzieniem un kura saturs atbilst iecerētajam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teksts neietver visu to funkciju uzskaitījumu, kuras būtu nepieciešams nodrošināt Robežšķērsošanas un kontroles procesa elektronizētas pārvaldības sistēmai.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Robežšķērsošanas un kontroles procesa elektronizētas pārvaldības sistēma (turpmāk - elektronizētās pārvaldības sistēma) nodrošina valsts ārējo autoceļu robežšķērsošanas vietu elektronizētu pārvaldību, ietver transportlīdzekļu plūsmas automatizētu organizēšanu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transportlīdzekļiem, to vadītājiem un pasažieriem, pārvadātajām precēm un  attiecībā uz personām, transportlīdzekļiem un precēm veiktajām kontroles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Elektronizētās pārvaldības sistēmas izveides, attīstības un uzturēšanas nodrošināšana tiek deleģēta valsts akciju sabiedrībai "Latvijas Valsts radio un televīzijas centrs". Elektronizētās pārvaldības sistēmas pārziņa pienākumi un personas datu apstrādes pārziņa pienākumi tiek deleģēti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Eiropas Parlamenta un Padomes 2016. gada 27. aprīļa regulā (ES) 2016/679 par fizisku personu aizsardzību attiecībā uz personas datu apstrādi un šādu datu brīvu apriti un ar ko atceļ direktīvu 95/46/EK (Vispārīgā datu aizsardzības regula), nedz Fizisko personu datu apstrādes likumā, nedz arī Valsts informācijas sistēmu likumā netiek lietots jēdziens "datu apstrādes pārzinis".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vai nu anotācijā skaidrot šī jēdziena saturu, vai arī likumā lietot citu jēdzienu, kurš atbilst tiesību aktos personas datu apstrādes jomā lietotiem jēdzieniem un kura saturs atbilst iecerētajam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Puters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anotācijā sniegto informāciju par mērķi, kādam līdzekļi tiks izmantoti – sistēmas uzturēšanai vai uzturēšanai un pilnveidošanai, jo pašreiz norādīts dažādi - "</w:t>
            </w:r>
            <w:r w:rsidR="00000000" w:rsidRPr="00000000" w:rsidDel="00000000">
              <w:rPr>
                <w:i w:val="1"/>
                <w:rtl w:val="0"/>
              </w:rPr>
              <w:t xml:space="preserve">Reģistrēšanās elektroniskās rindas rezervācijas sistēmā būs maksas pakalpojums un tās uzturēšanas izdevumi tiks segti no ieņēmumiem par šo pakalpojumu</w:t>
            </w:r>
            <w:r w:rsidR="00000000" w:rsidRPr="00000000" w:rsidDel="00000000">
              <w:rPr>
                <w:rtl w:val="0"/>
              </w:rPr>
              <w:t xml:space="preserve">”,  “I</w:t>
            </w:r>
            <w:r w:rsidR="00000000" w:rsidRPr="00000000" w:rsidDel="00000000">
              <w:rPr>
                <w:i w:val="1"/>
                <w:rtl w:val="0"/>
              </w:rPr>
              <w:t xml:space="preserve">ekasētie līdzekļi tiks pilnībā ieguldīti elektroniskās rindas reģistrācijas sistēmas uzturēšanā un tālākā pilnveidošanā, nodrošinot satiksmes organizēšanu uz autoceļiem RŠV tuvumā”</w:t>
            </w:r>
            <w:r w:rsidR="00000000" w:rsidRPr="00000000" w:rsidDel="00000000">
              <w:rPr>
                <w:rtl w:val="0"/>
              </w:rPr>
              <w:t xml:space="preserve">,  “</w:t>
            </w:r>
            <w:r w:rsidR="00000000" w:rsidRPr="00000000" w:rsidDel="00000000">
              <w:rPr>
                <w:i w:val="1"/>
                <w:rtl w:val="0"/>
              </w:rPr>
              <w:t xml:space="preserve">sistēmas uzturēšanā un pilnveidošanā, satiksmes organizēšanā un nodrošināšanā uz autoceļiem RŠV tuvumā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 (Ilze Sevele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4.1.sadaļu ar informāciju par nepieciešamo regulējumu Ministru kabineta noteikumos saistībā ar likumprojektā paredzētajiem maksas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 (Ilze Sevele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7.1.sadaļā kā likumprojekta izpildē iesaistīto institūciju Finanšu ministriju, jo likumprojektā tai nav noteikti pienākumi, vai arī sniegt skaidrojumu, kāda iesaiste no Finanšu ministrijas paredzēta likumprojekta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 (Ilze Sevele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21.03.2025.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21.03.2025.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