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w:t>
            </w:r>
            <w:r w:rsidR="00000000" w:rsidRPr="00000000" w:rsidDel="00000000">
              <w:rPr>
                <w:i w:val="1"/>
                <w:rtl w:val="0"/>
              </w:rPr>
              <w:t xml:space="preserve">Cilvēkkapitāla attīstības stratēģija 2024.-2027</w:t>
            </w:r>
            <w:r w:rsidR="00000000" w:rsidRPr="00000000" w:rsidDel="00000000">
              <w:rPr>
                <w:rtl w:val="0"/>
              </w:rPr>
              <w:t xml:space="preserve">.” sadaļā ”</w:t>
            </w:r>
            <w:r w:rsidR="00000000" w:rsidRPr="00000000" w:rsidDel="00000000">
              <w:rPr>
                <w:i w:val="1"/>
                <w:rtl w:val="0"/>
              </w:rPr>
              <w:t xml:space="preserve">Kvalificētu darbinieku piesaiste</w:t>
            </w:r>
            <w:r w:rsidR="00000000" w:rsidRPr="00000000" w:rsidDel="00000000">
              <w:rPr>
                <w:rtl w:val="0"/>
              </w:rPr>
              <w:t xml:space="preserve">“ (9 lpp.) un “</w:t>
            </w:r>
            <w:r w:rsidR="00000000" w:rsidRPr="00000000" w:rsidDel="00000000">
              <w:rPr>
                <w:i w:val="1"/>
                <w:rtl w:val="0"/>
              </w:rPr>
              <w:t xml:space="preserve">Cilvēkkapitāla attīstības stratēģijas pasākumu plāna</w:t>
            </w:r>
            <w:r w:rsidR="00000000" w:rsidRPr="00000000" w:rsidDel="00000000">
              <w:rPr>
                <w:rtl w:val="0"/>
              </w:rPr>
              <w:t xml:space="preserve"> 3.sadaļas </w:t>
            </w:r>
            <w:r w:rsidR="00000000" w:rsidRPr="00000000" w:rsidDel="00000000">
              <w:rPr>
                <w:i w:val="1"/>
                <w:rtl w:val="0"/>
              </w:rPr>
              <w:t xml:space="preserve">“Kvalificētu darbinieku piesaiste”</w:t>
            </w:r>
            <w:r w:rsidR="00000000" w:rsidRPr="00000000" w:rsidDel="00000000">
              <w:rPr>
                <w:rtl w:val="0"/>
              </w:rPr>
              <w:t xml:space="preserve"> punktā 3.2.1.3. (20 lpp.) norādīts, ka par rezultatīvo rādītāju pasākumam </w:t>
            </w:r>
            <w:r w:rsidR="00000000" w:rsidRPr="00000000" w:rsidDel="00000000">
              <w:rPr>
                <w:i w:val="1"/>
                <w:rtl w:val="0"/>
              </w:rPr>
              <w:t xml:space="preserve">“Pastiprināt atbildību par  uzaicināto ārzemnieku uzturēšanās mērķa atbilstību norādītajam, kā arī paredzot atbildību par ārvalstnieka izbraukšanu no Šengenas zonas veicot grozījumus spēkā esošajā normatīvajā regulējumā”</w:t>
            </w:r>
            <w:r w:rsidR="00000000" w:rsidRPr="00000000" w:rsidDel="00000000">
              <w:rPr>
                <w:rtl w:val="0"/>
              </w:rPr>
              <w:t xml:space="preserve"> atbildīgā ir Ārlietu ministrija, bet kā līdzatbildīgās ir norādītas Iekšlietu ministrija un PMLP.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2003. gada 29. aprīļa noteikumu Nr. 237</w:t>
            </w:r>
            <w:r w:rsidR="00000000" w:rsidRPr="00000000" w:rsidDel="00000000">
              <w:rPr>
                <w:i w:val="1"/>
                <w:rtl w:val="0"/>
              </w:rPr>
              <w:t xml:space="preserve"> “Ārlietu ministrijas nolikums”</w:t>
            </w:r>
            <w:r w:rsidR="00000000" w:rsidRPr="00000000" w:rsidDel="00000000">
              <w:rPr>
                <w:rtl w:val="0"/>
              </w:rPr>
              <w:t xml:space="preserve"> 4. punktu Ārlietu ministrijas funkcijās neietilpst migrācijas politikas izstrāde un migrācijas kontrole. Ievērojot minēto, iebilstam, ka Ārlietu ministrija ir noteikta kā atbildīgā par grozījumu izstrādi normatīvajā regulējumā, lai pastiprinātu darba devēju atbildību un piesaistītā darbaspēka kontroli. Lūdzam svītrot Ārlietu ministriju kā 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Stūrīte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izskatījusi rīcības plānu “Cilvēkkapitāla attīstības stratēģija 2024.-2027.gadam”  un neiebilst tajā noteiktajai izdienas pensiju pārskatīšanai. Izdienas pensiju sistēmas reforma ir aizsākta, bet risinājums vēl nav atrasts.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izdienas pensiju pārskatīšana attiektos ne tikai uz diplomātiem, bet arī uz prokuroriem, SAB amatpersonām, valsts un pašvaldību profesionālo orķestru, koru, koncertorganizāciju, teātru un cirka māksliniekiem, tiesnešiem, KNAB amatpersonām , VDD un MIDD amatpersonām un NMPD neatliekamās medicīniskās palīdzības nodrošināšanā iesaistītajiem darbiniekiem,  aicinām izvērtēt līdzatbildīgo institūciju iesaisti izdienas pensiju pārskatīšanā šī dokumenta ietvaros (skatīt rīcības plāna dokumenta 2.2.3.2. punktu - Izdienas pensiju sistēmas pārskatīšana - 18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Stūrīte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19.03.2024.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19.03.2024.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