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463 "Programmas "Iespējkapitāla ieguldījumi"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2.2. minēto, ka atbalsts ir pašu kapitāla sākotnējais ieguldījums saskaņā ar Komisijas regulas Nr. 651/2014 2. panta 74. punktā noteikto definīciju vai kvazikapitāla sākotnējais ieguldījums saskaņā ar Komisijas regulas Nr. 651/2014 2. panta 66. punktā noteikto definīciju un Komisijas regulas Nr. 651/2014 21. panta 17. punktu, vai turpmākais ieguldījums saskaņā ar Komisijas regulas Nr. 651/2014 2. panta 77. punktā noteikto definīciju, savukārt anotācijā norādīts, ka de minimis atbalsta gadījumā iespējkapitāla ieguldījumu var veikt kā aizdevumu atbilstoši Komisijas regulas Nr. 651/2014 2. panta 82. punktā minētajai definīcijai, lūdzam skaidri anotācijā norādīt, kāds atbalsta veids ir paredzēts attiecīgajam regulējumam, un gadījumā, ja atbalsts tiks piešķirts aizdevuma veidā, vienlaikus noteikumu projektā paredzot visus atbilstošus nosacījumus, kas izriet no Komisijas regulas Nr. 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radusies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Iespējkapitāla īstenošanas noteikumi tiek papildināti ar 5.</w:t>
            </w:r>
            <w:r w:rsidR="00000000" w:rsidRPr="00000000" w:rsidDel="00000000">
              <w:rPr>
                <w:vertAlign w:val="superscript"/>
                <w:rtl w:val="0"/>
              </w:rPr>
              <w:t xml:space="preserve">1</w:t>
            </w:r>
            <w:r w:rsidR="00000000" w:rsidRPr="00000000" w:rsidDel="00000000">
              <w:rPr>
                <w:rtl w:val="0"/>
              </w:rPr>
              <w:t xml:space="preserve"> punktu, lūdzam to papildināt arī ar snieguma kritērijiem, kuru nepieciešamību nosaka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68.panta 4.punkts, par kuriem ir panākta vienošanās starp sabiedrību Altum, Centrālo finanšu un līgumu aģentūru un Eiropas Savienības fondu vadošo iestādi š.g. februārī. Vienlaikus lūdzam norādīt arī snieguma kritērijus, kas ir attiecināmi uz pēcinvestīciju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radusies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mainīt punkta redakciju, precīzāk identificējot to, kā tiks nodrošināta vadības maksas atbilstība snieguma kritērijiem, kuru nepieciešamību nosaka Eiropas Parlamenta un Padomes 2021. gada 24. jūnija Regulas (ES) 2021/1060 68.panta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starpnieka pārvaldības maksa, kas samaksāta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 ir attiecināma no šo noteikumu </w:t>
            </w:r>
            <w:r w:rsidR="00000000" w:rsidRPr="00000000" w:rsidDel="00000000">
              <w:rPr>
                <w:rtl w:val="0"/>
              </w:rPr>
              <w:t xml:space="preserve">5.1.</w:t>
            </w:r>
            <w:r w:rsidR="00000000" w:rsidRPr="00000000" w:rsidDel="00000000">
              <w:rPr>
                <w:rtl w:val="0"/>
              </w:rPr>
              <w:t xml:space="preserve"> apakšpunktā minētā finansējuma pilnā apmērā, ja līdz 2029. gada 31. decembrim ir veikti ieguldījumi gala saņēmējos vismaz 70% apmērā no attiecīgā fonda kapitāla, kas paredzēts ieguldījumiem gala saņēmējos, ievērojot investīciju perioda efektīvo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mainīt punkta redakciju, precīzāk identificējot to, kā tiks nodrošināta vadības maksas atbilstība snieguma kritērijiem, kuru nepieciešamību nosaka Eiropas Parlamenta un Padomes 2021. gada 24. jūnija Regulas (ES) 2021/1060 68.panta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attiecināma no šo noteikumu 5.1. apakšpunktā minētā finansējuma pilnā apmērā tikai tādā gadījumā, ja līdz 2029. gada 31. decembrim ir veikti ieguldījumi gala saņēmējos vismaz 70% apmērā no katra attiecīgā fonda kapitāla, kas paredzēts ieguldījumiem gala saņēmējos, ievērojot investīciju perioda efektīvo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 ja līdz 2029. gada 31. decembrim ir veikti ieguldījumi gala saņēmējos mazāk nekā 70% apmērā no attiecīgā fonda kapitāla, kas paredzēts ieguldījumiem gala saņēmējos, ievērojot investīciju perioda efektīvo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mainīt punkta redakciju, precīzāk identificējot to, kā tiks nodrošināta vadības maksas atbilstība snieguma kritērijiem, kuru nepieciešamību nosaka Eiropas Parlamenta un Padomes 2021. gada 24. jūnija Regulas (ES) 2021/1060 68.panta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2029. gada 31. decembrim ir veikti ieguldījumi gala saņēmējos mazāk nekā 70% apmērā no katra attiecīgā fonda kapitāla, kas paredzēts ieguldījumiem gala saņēmējos, ievērojot investīciju perioda efektīvo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2.1. no šo noteikumu </w:t>
            </w:r>
            <w:r w:rsidR="00000000" w:rsidRPr="00000000" w:rsidDel="00000000">
              <w:rPr>
                <w:rtl w:val="0"/>
              </w:rPr>
              <w:t xml:space="preserve">5.1.</w:t>
            </w:r>
            <w:r w:rsidR="00000000" w:rsidRPr="00000000" w:rsidDel="00000000">
              <w:rPr>
                <w:rtl w:val="0"/>
              </w:rPr>
              <w:t xml:space="preserve"> apakšpunktā minētā finansējuma attiecināmas izmaksas proporcionāli, aprēķinot ieguldījumus gala saņēmējos pret paredzētajiem ieguldījumiem gala saņēmējos vismaz 70% apmērā no attiecīgā fonda kapitāla, kas paredzēts ieguldījumiem gala saņēmējos, ievērojot investīciju perioda efektīvo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mainīt punkta redakciju, precīzāk identificējot to, kā tiks nodrošināta vadības maksas atbilstība snieguma kritērijiem, kuru nepieciešamību nosaka Eiropas Parlamenta un Padomes 2021. gada 24. jūnija Regulas (ES) 2021/1060 68.panta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šo noteikumu 5.1. apakšpunktā minētā finansējuma pārvaldības maksa jāsamazina proporcionāli, aprēķinot ieguldījumus gala saņēmējos pret paredzētajiem ieguldījumiem gala saņēmējos.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1. attiecībā uz Komisijas regulas Nr. 651/2014 21. panta 18. punkta "a" apakšpunktu jāizpilda nosacījumi atbilstoši Komisijas regulai Nr. 2023/2831. Atbalstu vienam vienotam uzņēmumam piešķir, nepārsniedzot Komisijas regulas Nr. 2023/2831 3. panta 2. punktā noteikto </w:t>
            </w:r>
            <w:r w:rsidR="00000000" w:rsidRPr="00000000" w:rsidDel="00000000">
              <w:rPr>
                <w:i w:val="1"/>
                <w:rtl w:val="0"/>
              </w:rPr>
              <w:t xml:space="preserve">de minimis</w:t>
            </w:r>
            <w:r w:rsidR="00000000" w:rsidRPr="00000000" w:rsidDel="00000000">
              <w:rPr>
                <w:rtl w:val="0"/>
              </w:rPr>
              <w:t xml:space="preserve"> atbalsta maksimālo apmēru, kā arī ievērojot Komisijas regulas Nr. 2023/2831 3. panta 8. punkta nosacījumus uzņēmumu apvienošanās vai iegādes gadījumā un Komisijas regulas Nr. 2023/2831 3. panta 9. punkta nosacījumus uzņēmuma sadalīšanas gadījumā. Viens vienots uzņēmums ir uzņēmums, kas atbilst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iekļautu skaidrus de minimis atbalsta piešķiršanas nosacījumus saskaņā ar Komisijas regulas Nr. ​2023/2831 3. panta 2. punktu, lūdzam noteikumu projekta 21.</w:t>
            </w:r>
            <w:r w:rsidR="00000000" w:rsidRPr="00000000" w:rsidDel="00000000">
              <w:rPr>
                <w:vertAlign w:val="superscript"/>
                <w:rtl w:val="0"/>
              </w:rPr>
              <w:t xml:space="preserve">1</w:t>
            </w:r>
            <w:r w:rsidR="00000000" w:rsidRPr="00000000" w:rsidDel="00000000">
              <w:rPr>
                <w:rtl w:val="0"/>
              </w:rPr>
              <w:t xml:space="preserve">1. apakšpunktu precizēt,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Komisijas regulas Nr. 651/2014 21. panta 18. punkta "a" apakšpunktu jāizpilda nosacījumi, kas paredzēti Komisijas regulā Nr. 2023/2831. Atbalstu vienam vienotam uzņēmumam finanšu starpnieks piešķir, pārbaudot, vai plānotais de minimis atbalsts kopā ar iepriekšējos trīs gados no atbalsta piešķiršanas dienas piešķirto de minimis atbalstu viena vienota uzņēmuma līmenī nepārsniedz Komisijas regulas Nr. 2023/2831 3. panta 2. punktā noteikto de minimis atbalsta maksimālo apmēru, kā arī ievērojot Komisijas regulas Nr. 2023/2831 3.panta 8. punkta nosacījumus uzņēmumu apvienošanās vai iegādes gadījumā un Komisijas regulas Nr. 2023/2831 3.panta 9. punkta nosacījumus uzņēmuma sadalīšanas gadījumā. Šo noteikumu izpratnē viens vienots uzņēmums ir uzņēmums, kas atbilst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4. gala saņēmējs 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saņemtā de minimis atbalsta summa var atšķirties no piešķirtās de minimis atbalsta summas, lūdzam precizēt 21.</w:t>
            </w:r>
            <w:r w:rsidR="00000000" w:rsidRPr="00000000" w:rsidDel="00000000">
              <w:rPr>
                <w:vertAlign w:val="superscript"/>
                <w:rtl w:val="0"/>
              </w:rPr>
              <w:t xml:space="preserve">1</w:t>
            </w:r>
            <w:r w:rsidR="00000000" w:rsidRPr="00000000" w:rsidDel="00000000">
              <w:rPr>
                <w:rtl w:val="0"/>
              </w:rPr>
              <w:t xml:space="preserve">4. apakšpunktu, aizstāt vārdu “saņemto” ar vārdu “piešķirto”.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2024. gada 1. jūlijā stāsies spēkā grozījumi Ministru kabineta noteikumos Nr. 715 "Noteikumi par de minimis atbalsta uzskaites un piešķiršanas kārtību un de minimis atbalsta uzskaites veidlapu paraugiem" (turpmāk - Noteikumi Nr. 715), kas paredz precizēt Noteikumu Nr. 715 nosaukumu un svītrot 1. pielikumu “Veidlapa par sniedzamo informāciju de minimis atbalsta uzskaitei un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Atbalstu, kas šo noteikumu ietvaros piešķirts saskaņā ar Komisijas regulas Nr. 651/2014 21. pantu, ievērojot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punktu, drīkst apvienot: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de minimis atbalsta, kas piešķirts šo noteikumu ietvaros, kumulāciju,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var apvienot ar citu de minimis atbalstu, tai skaitā, par vienām un tām pašām attiecināmajām izmaksām līdz Komisijas regulas Nr.2023/2831 3.panta 2.punktā noteiktajam attiecīgajam robežlielumam, ja pēc atbalstu apvienošanas atbalsta vienībai vai izmaksu pozīcijai attiecīgā maksimālā atbalsta intensitāte nepārsniedz 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pārkāptas šajos noteikumos noteiktās komercdarbības atbalsta kontroles normas, tostarp nosacījumi, kas izriet no Komisijas regulas Nr.  </w:t>
            </w:r>
            <w:r w:rsidR="00000000" w:rsidRPr="00000000" w:rsidDel="00000000">
              <w:rPr>
                <w:rtl w:val="0"/>
              </w:rPr>
              <w:t xml:space="preserve">651/2014</w:t>
            </w:r>
            <w:r w:rsidR="00000000" w:rsidRPr="00000000" w:rsidDel="00000000">
              <w:rPr>
                <w:rtl w:val="0"/>
              </w:rPr>
              <w:t xml:space="preserve">, atbalsta saņēmējam ir pienākums atmaksāt sabiedrībai Altum visu atbalsta ietvaros saņemto nelikumīgo komercdarbības atbalstu no līdzekļiem, kas ir brīvi no valsts atbalsta, atbilstoši Komercdarbības atbalsta kontroles likuma IV vai V nodaļā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nelikumīga komercdarbības atbalsta gadījumā ir jāatgriež nevis viss, bet tikai nelikumīgais komercdarbības atbalsts ar procentiem, aicinām precizēt noteikumu 43.punktu: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Komisijas regulas Nr. 651/2014 vai Komisijas regulas Nr. 2023/2831 prasības, gala labuma guvējam ir pienākums atmaksāt sabiedrībai Altum projekta ietvaros saņemto nelikumīgo atbalstu no līdzekļiem, kas ir brīvi no valsts atbalsta, kopā ar procentiem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par Eiropas Reģionālās attīstības fonda (turpmāk - ERAF) pārdales 12,4 milj. EUR apmērā ietekmi uz iznākuma rādītājiem. Vienlaikus lūdzam iesniegt ES fondu vadošai iestādei precizētu 1.2.3.SAM rādītāju pasi. Tāpat lūdzam papildināt anotācijas 1.3.sadaļu ar informāciju par potenciāliem Eiropas Savienības Kohēzijas politikas programmas pasākumiem, kuros plānots pārdalīt atbrīvoto ERAF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iekļautu skaidrus de minimis atbalsta piešķiršanas nosacījumus saskaņā ar Komisijas regulas Nr. 2023/2831 3. panta 2. punktu, lūdzam papildināt anotāciju ar skaidrojumu par to, kā nosakāms trīs gadu laika posms, norādot, ka trīs gadu laikposms ir jāvērtē kā slīdošs periods un attiecībā uz katru jaunu de minimis atbalsta piešķiršanu jāņem vērā de minimis atbalsta kopsumma, kas piešķirta iepriekšējos trīs gados, norādot, ka ar trīs gadu periodu saprotams laika periods no konkrēta datuma, kas ir jaunā piešķiramā atbalsta datums trīs gadu periodā atpakaļ, piemēram, ja jaunā atbalsta piešķiršanas datums ir 2024.gada 17.jūlijs, trīs gadu periods būs skaitāms līdz 2021.gada 17.jūlijam.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tabulu par tiesību akta projekta atbilstības izvērtējumu atbilstoši Komisijas regulas Nr. 2023/2831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norādīts: </w:t>
            </w:r>
            <w:r w:rsidR="00000000" w:rsidRPr="00000000" w:rsidDel="00000000">
              <w:rPr>
                <w:i w:val="1"/>
                <w:rtl w:val="0"/>
              </w:rPr>
              <w:t xml:space="preserve">"Vienu no atlasēm – 5. paaudzes Sākuma stadijas iespējkapitāla fonda pārvaldnieka atlasi –, kura tika izsludināta 2023. gada 15. decembrī, sabiedrība Altum lēma pārtraukt, jo tajā bija pieteicies tikai viens pretendents. Šāds lēmums tika pieņemts, pamatojoties uz  Publisko iepirkumu likuma 41. panta divpadsmitās daļas nosacījumu, ka pasūtītājs pārtrauc iepirkuma procedūru, ja piedāvājumu ir iesniedzis tikai viens pretendents. Programma paredzēja Sākuma stadijas iespējkapitāla fondam 12 400 000 euro. Atkārtotu iepirkuma procedūru nav plānots izsludināt, ņemot vērā mazo tirgus dalībnieku interesi."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Publisko iepirkumu likuma (PIL) 41.panta divpadsmitās daļas 1.punktu</w:t>
            </w:r>
            <w:r w:rsidR="00000000" w:rsidRPr="00000000" w:rsidDel="00000000">
              <w:rPr>
                <w:i w:val="1"/>
                <w:rtl w:val="0"/>
              </w:rPr>
              <w:t xml:space="preserve"> pasūtītājs pieņem lēmumu pārtraukt iepirkuma procedūru, ja atklātā konkursā, slēgtā konkursā vai konkursa procedūrā ar sarunām pieteikumu vai piedāvājumu ir iesniedzis tikai viens kandidāts vai pretendents, izņemot, kad pasūtītājs pirms iepirkuma procedūras izsludināšanas ir rīkojis PIL 18.panta 2.</w:t>
            </w:r>
            <w:r w:rsidR="00000000" w:rsidRPr="00000000" w:rsidDel="00000000">
              <w:rPr>
                <w:i w:val="1"/>
                <w:vertAlign w:val="superscript"/>
                <w:rtl w:val="0"/>
              </w:rPr>
              <w:t xml:space="preserve">1</w:t>
            </w:r>
            <w:r w:rsidR="00000000" w:rsidRPr="00000000" w:rsidDel="00000000">
              <w:rPr>
                <w:i w:val="1"/>
                <w:rtl w:val="0"/>
              </w:rPr>
              <w:t xml:space="preserve"> daļas prasībām atbilstošu apspriedi ar piegādātājiem</w:t>
            </w:r>
            <w:r w:rsidR="00000000" w:rsidRPr="00000000" w:rsidDel="00000000">
              <w:rPr>
                <w:rtl w:val="0"/>
              </w:rPr>
              <w:t xml:space="preserve">. Atbilstoši minētajam regulējumam pasūtītājam nav pienākuma pārtraukt iepirkuma procedūru viena piegādātāja gadījumā, ja tas pirms konkrētā iepirkuma izsludināšanas ir veicis PIL 18.panta 2.</w:t>
            </w:r>
            <w:r w:rsidR="00000000" w:rsidRPr="00000000" w:rsidDel="00000000">
              <w:rPr>
                <w:vertAlign w:val="superscript"/>
                <w:rtl w:val="0"/>
              </w:rPr>
              <w:t xml:space="preserve">1</w:t>
            </w:r>
            <w:r w:rsidR="00000000" w:rsidRPr="00000000" w:rsidDel="00000000">
              <w:rPr>
                <w:rtl w:val="0"/>
              </w:rPr>
              <w:t xml:space="preserve"> daļā paredzēto apspriedi ar piegādātājiem. Līdz ar to, lai nodrošinātu, ka projekta anotācijā ir ietverta pilnīga informāciju un nerastos maldīgs priekšstats, ka PIL regulējums neparedz nekādas iespējas objektīvas piegādātāju konkurences neesamības gadījumā tomēr iepirkuma līgumu noslēgt, aicinām minēto anotācijas tekstu papildināt ar informāciju par to, ka atbilstoši minētajam PIL regulējumam attiecīgā atlase tika pārtraukta, jo tajā bija pieteicies tikai viens pretendents un Altum pirms attiecīgās iepirkuma procedūras izsludināšanas nebija veicis PIL 18.panta 2.</w:t>
            </w:r>
            <w:r w:rsidR="00000000" w:rsidRPr="00000000" w:rsidDel="00000000">
              <w:rPr>
                <w:vertAlign w:val="superscript"/>
                <w:rtl w:val="0"/>
              </w:rPr>
              <w:t xml:space="preserve">1</w:t>
            </w:r>
            <w:r w:rsidR="00000000" w:rsidRPr="00000000" w:rsidDel="00000000">
              <w:rPr>
                <w:rtl w:val="0"/>
              </w:rPr>
              <w:t xml:space="preserve"> daļas prasībām atbilstošu apspriedi.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atbalsta piešķiršanas brīdis – brīdis, kad finanšu starpnieks ir pieņēmis lēmumu par atbalsta piešķiršanu. Lēmumu par atbalsta piešķiršanu. Lēmumu par atbalsta piešķiršanu saskaņā ar Komisijas regulu Nr. 651/2014 var pieņemt līdz šīs regulas darbības beigām. Ja atbalsts tiek piešķirts atbilstoši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punktam, lēmumu par atbalsta piešķiršanu saskaņā ar Eiropas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var pieņemt līdz šīs regulas darbības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pārskatīt un precizēt noteikumu projekta 2.3.apakšpunktu, svītrojot tā 2.teikumu, kas dublē nākamā teikuma sākuma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atbalstu saskaņā ar šo noteikumu 30.</w:t>
            </w:r>
            <w:r w:rsidR="00000000" w:rsidRPr="00000000" w:rsidDel="00000000">
              <w:rPr>
                <w:vertAlign w:val="superscript"/>
                <w:rtl w:val="0"/>
              </w:rPr>
              <w:t xml:space="preserve">1</w:t>
            </w:r>
            <w:r w:rsidR="00000000" w:rsidRPr="00000000" w:rsidDel="00000000">
              <w:rPr>
                <w:rtl w:val="0"/>
              </w:rPr>
              <w:t xml:space="preserve"> un 38.</w:t>
            </w:r>
            <w:r w:rsidR="00000000" w:rsidRPr="00000000" w:rsidDel="00000000">
              <w:rPr>
                <w:vertAlign w:val="superscript"/>
                <w:rtl w:val="0"/>
              </w:rPr>
              <w:t xml:space="preserve">1</w:t>
            </w:r>
            <w:r w:rsidR="00000000" w:rsidRPr="00000000" w:rsidDel="00000000">
              <w:rPr>
                <w:rtl w:val="0"/>
              </w:rPr>
              <w:t xml:space="preserve"> punktu nepiešķir Komisijas regulas Nr. 2023/2831 1. panta 1. punktā noteiktajām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22.9. apakšpunktu, norādot atsauces uz atbilstošiem noteikumu projekta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w:t>
    </w:r>
    <w:r>
      <w:br/>
    </w:r>
    <w:r w:rsidR="00000000" w:rsidRPr="00000000" w:rsidDel="00000000">
      <w:rPr>
        <w:rtl w:val="0"/>
      </w:rPr>
      <w:t xml:space="preserve">Izdrukāts 14.06.2024.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w:t>
    </w:r>
    <w:r>
      <w:br/>
    </w:r>
    <w:r w:rsidR="00000000" w:rsidRPr="00000000" w:rsidDel="00000000">
      <w:rPr>
        <w:rtl w:val="0"/>
      </w:rPr>
      <w:t xml:space="preserve">Izdrukāts 14.06.2024.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Atzinumi_24-TA-247.docx</dc:title>
</cp:coreProperties>
</file>

<file path=docProps/custom.xml><?xml version="1.0" encoding="utf-8"?>
<Properties xmlns="http://schemas.openxmlformats.org/officeDocument/2006/custom-properties" xmlns:vt="http://schemas.openxmlformats.org/officeDocument/2006/docPropsVTypes"/>
</file>