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nepilngadīgo patvēruma meklētāju bez pavadības tiesību un interešu aizsardzības pasākumu ietekmi uz pašvaldību budžetiem”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izprot iznformatīvā ziņojuma steidzamību, bet vienlaikus aicina paredzēt/ noteikt laika robežas, kad varētu tikt organizēta diskusija, pieaicinot ekspertus (bāriņtiesas, IEM pārstāvjus, u.c. interesentus), lai vērtētu jautājumu plašāk izvērtēt no tiesību viedokļa un tā faktisko ietekmi uz bariņtiesas darbību.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Dāvids Valters (LPS) (Vineta Reitere (LPS)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12.59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07.08.2025. 12.59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