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23-TA-742: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pirmās kārtas, 4.1.1.2. pasākuma "P.Stradiņa klīniskās universitātes slimnīcas infrastruktūras attīstība" un 4.1.1.5. pasākuma “Neatliekamās medicīniskās palīdzības dienesta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pirmās kārtas, 4.1.1.2. pasākuma "P.Stradiņa klīniskās universitātes slimnīcas infrastruktūras attīstība" un 4.1.1.5. pasākuma “Neatliekamās medicīniskās palīdzības dienesta attīstība”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4.1.1.2. pasākuma “P.Stradiņa klīniskās universitātes slimnīcas infrastruktūras attīstība” īstenošanas noteikumus virzīt uz Ministru kabinetu tikai tad, ka būs zināmas pilnas Stradiņu B korpusa būvniecības izmaksas, un zināmi šo izmaksu finansēšanas avoti. Attiecīgi lūdzam precizēt noteikumu projektu, tā anotāciju un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VM, jautājumu, par Stradiņu B korpusa būvniecību un tam nepieciešamajiem finanšu līdzekļiem, pieteikt uz ES fondu ministru komiteju.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pirmās kārtas, 4.1.1.2. pasākuma "P.Stradiņa klīniskās universitātes slimnīcas infrastruktūras attīstība" un 4.1.1.5. pasākuma “Neatliekamās medicīniskās palīdzības dienesta attīstība”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projekta 11., 12. un 13.punktam paredzēts, ka nacionālais finansējums sevī iekļauj gan valsts budžeta, gan privāto finansējumu, savukārt, noteikumu projekta pielikumā norādīts, ka  privātā finansējuma apmērs tiks noteikts līguma vai vienošanās parakstīšanas brīdī par projekta īstenošanu atbilstoši katras ārstniecības iestādes infrastruktūras izmantošanas proporcijai, kura tiks noteikta saskaņā ar šo noteikumu 43.punktu, precizējams noteikumu projekts un tā pielikums, iekļaujot arī privātā finansējuma apmēru. Ņemot vērā, ka atbilstoši noteikuma projekta pielikumā norādītajam visu nacionālo finansējumu nodrošina no valsts budžeta, savukārt atbalsta saņēmēji ir arī pašvaldību kapitālsabiedrības, uzskatām, ka nacionālais finansējums daļēji sedzams arī no pašvaldību kapitālsabiedrības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4.1.1.1. pasākuma ietvaros – 3 538 502 iedzīvotāji;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apakšpunktu, norādot "4.1.1.1. pasākuma </w:t>
            </w:r>
            <w:r w:rsidR="00000000" w:rsidRPr="00000000" w:rsidDel="00000000">
              <w:rPr>
                <w:b w:val="1"/>
                <w:rtl w:val="0"/>
              </w:rPr>
              <w:t xml:space="preserve">pirmās kārtas</w:t>
            </w:r>
            <w:r w:rsidR="00000000" w:rsidRPr="00000000" w:rsidDel="00000000">
              <w:rPr>
                <w:rtl w:val="0"/>
              </w:rPr>
              <w:t xml:space="preserve">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Pasākuma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projektā, tā anotācijā un protokollēmuma projektā pasākumu finansējumu atbilstoši precizētajam Programmas papildinājumam.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precizēt noteikumu projekta 1.pielikumā norādīto projektu finansējumu, lai finansējums projektos nepārsniedz plānoto finansējumu pasākumu līmenī tai skaitā, pa finansējuma avotiem (ES fondu finansējums projektu līmenī nepārsniedz plānoto ES fondu finansējumu, tāpat arī ar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patreiz noteikumu projektā Eiropas Reģionālās attīstības fonda finansējums pārsniedz 85 procentus no kopējā finansējuma apmēra.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finansējums: 4.1.1.1.pasākums (1.-4.k)124 549 445 = 105 867 </w:t>
            </w:r>
            <w:r w:rsidR="00000000" w:rsidRPr="00000000" w:rsidDel="00000000">
              <w:rPr>
                <w:u w:val="single"/>
                <w:rtl w:val="0"/>
              </w:rPr>
              <w:t xml:space="preserve">028</w:t>
            </w:r>
            <w:r w:rsidR="00000000" w:rsidRPr="00000000" w:rsidDel="00000000">
              <w:rPr>
                <w:rtl w:val="0"/>
              </w:rPr>
              <w:t xml:space="preserve"> (ERAF) + 18 682 </w:t>
            </w:r>
            <w:r w:rsidR="00000000" w:rsidRPr="00000000" w:rsidDel="00000000">
              <w:rPr>
                <w:u w:val="single"/>
                <w:rtl w:val="0"/>
              </w:rPr>
              <w:t xml:space="preserve">417</w:t>
            </w:r>
            <w:r w:rsidR="00000000" w:rsidRPr="00000000" w:rsidDel="00000000">
              <w:rPr>
                <w:rtl w:val="0"/>
              </w:rPr>
              <w:t xml:space="preserve"> (Nacionālais līdzf.); 4.1.1.2.pasākums134 894 350 = 114 660 </w:t>
            </w:r>
            <w:r w:rsidR="00000000" w:rsidRPr="00000000" w:rsidDel="00000000">
              <w:rPr>
                <w:u w:val="single"/>
                <w:rtl w:val="0"/>
              </w:rPr>
              <w:t xml:space="preserve">197</w:t>
            </w:r>
            <w:r w:rsidR="00000000" w:rsidRPr="00000000" w:rsidDel="00000000">
              <w:rPr>
                <w:rtl w:val="0"/>
              </w:rPr>
              <w:t xml:space="preserve"> (ERAF) + 20 234 </w:t>
            </w:r>
            <w:r w:rsidR="00000000" w:rsidRPr="00000000" w:rsidDel="00000000">
              <w:rPr>
                <w:u w:val="single"/>
                <w:rtl w:val="0"/>
              </w:rPr>
              <w:t xml:space="preserve">153</w:t>
            </w:r>
            <w:r w:rsidR="00000000" w:rsidRPr="00000000" w:rsidDel="00000000">
              <w:rPr>
                <w:rtl w:val="0"/>
              </w:rPr>
              <w:t xml:space="preserve"> (Nacionālais līdzf.); Pieejamais finansējums:4.1.1.1.pasākums (1.-4.k)124 549 445 = 105 867 </w:t>
            </w:r>
            <w:r w:rsidR="00000000" w:rsidRPr="00000000" w:rsidDel="00000000">
              <w:rPr>
                <w:u w:val="single"/>
                <w:rtl w:val="0"/>
              </w:rPr>
              <w:t xml:space="preserve">028</w:t>
            </w:r>
            <w:r w:rsidR="00000000" w:rsidRPr="00000000" w:rsidDel="00000000">
              <w:rPr>
                <w:rtl w:val="0"/>
              </w:rPr>
              <w:t xml:space="preserve"> (ERAF) + 18 682 </w:t>
            </w:r>
            <w:r w:rsidR="00000000" w:rsidRPr="00000000" w:rsidDel="00000000">
              <w:rPr>
                <w:u w:val="single"/>
                <w:rtl w:val="0"/>
              </w:rPr>
              <w:t xml:space="preserve">417</w:t>
            </w:r>
            <w:r w:rsidR="00000000" w:rsidRPr="00000000" w:rsidDel="00000000">
              <w:rPr>
                <w:rtl w:val="0"/>
              </w:rPr>
              <w:t xml:space="preserve"> (Nacionālais līdzf.); 4.1.1.2.pasākumam 88 212 058 = 74 980 </w:t>
            </w:r>
            <w:r w:rsidR="00000000" w:rsidRPr="00000000" w:rsidDel="00000000">
              <w:rPr>
                <w:u w:val="single"/>
                <w:rtl w:val="0"/>
              </w:rPr>
              <w:t xml:space="preserve">248</w:t>
            </w:r>
            <w:r w:rsidR="00000000" w:rsidRPr="00000000" w:rsidDel="00000000">
              <w:rPr>
                <w:rtl w:val="0"/>
              </w:rPr>
              <w:t xml:space="preserve"> (ERAF) + 13 231 </w:t>
            </w:r>
            <w:r w:rsidR="00000000" w:rsidRPr="00000000" w:rsidDel="00000000">
              <w:rPr>
                <w:u w:val="single"/>
                <w:rtl w:val="0"/>
              </w:rPr>
              <w:t xml:space="preserve">810 </w:t>
            </w:r>
            <w:r w:rsidR="00000000" w:rsidRPr="00000000" w:rsidDel="00000000">
              <w:rPr>
                <w:rtl w:val="0"/>
              </w:rPr>
              <w:t xml:space="preserve">(Nacionālais līdzf.);</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4.1.1.1. pasākuma finansējuma saņēmējiem, izņemot šo noteikumu </w:t>
            </w:r>
            <w:r w:rsidR="00000000" w:rsidRPr="00000000" w:rsidDel="00000000">
              <w:rPr>
                <w:rtl w:val="0"/>
              </w:rPr>
              <w:t xml:space="preserve">25.</w:t>
            </w:r>
            <w:r w:rsidR="00000000" w:rsidRPr="00000000" w:rsidDel="00000000">
              <w:rPr>
                <w:rtl w:val="0"/>
              </w:rPr>
              <w:t xml:space="preserve"> punktā</w:t>
            </w:r>
            <w:r w:rsidR="00000000" w:rsidRPr="00000000" w:rsidDel="00000000">
              <w:rPr>
                <w:color w:val="#e74c3c"/>
                <w:rtl w:val="0"/>
              </w:rPr>
              <w:t xml:space="preserve"> </w:t>
            </w:r>
            <w:r w:rsidR="00000000" w:rsidRPr="00000000" w:rsidDel="00000000">
              <w:rPr>
                <w:rtl w:val="0"/>
              </w:rPr>
              <w:t xml:space="preserve">minētajā gadījumā, un 4.1.1.2.pasākuma finansējuma saņēmējam komercdarbības atbalstu piešķir atbilstoši šīs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kurā norādījām, ka "atbilstoši ERAF regulas Nr.2021/1058 7.panta d) apakšpunktam ERAF un Kohēzijas fonda atbalstu nedrīkst piešķirt uzņēmumiem, kuriem konstatējamas grūtībās nonākuša uzņēmuma pazīmes, kas tiek vērtēti saskaņā ar Komisijas regulas Nr.651/2014 2.panta 18.punkta nosacījumiem. Līdz ar to šo noteikumu projektu nepieciešams papildināt ar atbilstošu punktu par nepieciešamību veikt pārbaudi, vai šajos noteikumos noteiktie finansējuma saņēmēji neatbilst grūtībās nonākuša uzņēmuma pazīmēm saskaņā ar Komisijas regulas Nr.651/2014 2.panta 18.punkta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Veselības ministrija ir skaidrojusi, ka "šī prasība – pārbaudīt, vai atbalsta saņēmējs neatbilst grūtībās nonākuša uzņēmuma pazīmēm saskaņā ar Komisijas regulas Nr.651/2014 2.panta 18.punkta nosacījumiem – ir iekļauta 4.1.1.1. un 4.1.1.2. pasākuma projektu iesniegumu vērtēšanas kritērijos, līdz ar to, nesaskatām nepieciešamību dublēt šo nosacījumu noteikumu projektā", norādām, ka visām būtiskajām normām, kas regulē atbalsta pasākuma īstenošanu, ir jābūt ietvertām attiecīgajā ārējā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atbilstoši Eiropas Savienības struktūrfondu un Kohēzijas fonda vadošās iestādes izstrādātās metodikas "Eiropas Reģionālās attīstības fonda, Eiropas Sociālā fonda plus, Kohēzijas fonda un Taisnīgas pārkārtošanās fonda projektu iesniegumu atlases metodika 2021.–2027.gadam" 73.rindkopai (6.1.sadaļa "Grūtībās nonākuša saimnieciskās darbības veicēja noteikšana") prasība novērtēt, vai projekta iesniedzējs un sadarbības partneris (ja tāds ir paredzēts) nav grūtībās nonācis saimnieciskās darbības veicējs, ir attiecināma (iekļaujama kritērijos), ja prasības izvirzītas MK noteikumos par SAM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to, ka praksē ir grūtības pārbaudīt atbalsta saņēmēja atbilstību Komisijas regulas Nr.651/2014 2.panta 18.punkta c) apakšpunktam no publiski pieejamiem informācijas avotiem, lūdzam papildināt noteikumu projektu ar normu, kas paredzētu pienākumu atbalsta saņēmējam iesniegt apliecinājumu, lai pārliecinātos, ka atbalsts netiek piešķirts tādam subjektam, kuram ierosināta tiesiskās aizsardzības procesa lieta, tiek īstenots tiesiskās aizsardzības process vai pasludināts maksātnespējas process, vai tas atbilst normatīvajos aktos noteiktiem kritērijiem, lai tam pēc kreditora pieprasījuma piemērotu maksātnespējas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tiek konstatēts, ka infrastruktūrā, par kuru iesniegts projekta iesniegums, tiek veikta papildinoša saimnieciskā darbība, kas pārsniedz šo noteikumu </w:t>
            </w:r>
            <w:r w:rsidR="00000000" w:rsidRPr="00000000" w:rsidDel="00000000">
              <w:rPr>
                <w:rtl w:val="0"/>
              </w:rPr>
              <w:t xml:space="preserve">25.</w:t>
            </w:r>
            <w:r w:rsidR="00000000" w:rsidRPr="00000000" w:rsidDel="00000000">
              <w:rPr>
                <w:rtl w:val="0"/>
              </w:rPr>
              <w:t xml:space="preserve"> punktā minēto apmēru, projekta iesniedzējam proporcionāli šai infrastruktūras daļai platības, laika vai finanšu izteiksmē ir pienākums atmaksāt sadarbības iestādei saņemto nelikumīgo komercdarbības atbalstu kopā ar procentiem no līdzekļiem, kas brīvi no valsts atbalsta, saskaņā ar Komercdarbības atbalsta kontroles likuma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nepieciešams atgūt nelikumīgo komercdarbības atbalstu arī gadījumā, kad tiek veikta cita saimnieciskā darbība, lūdzam precizēt MKN 26.punktu, piemēram, šādā redakcijā: “Ja tiek konstatēts, ka infrastruktūrā, par kuru iesniegts projekta iesniegums, tiek veikta ne vien papildinoša saimnieciskā darbība, kas pārsniedz šo noteikumu 25. punktā minēto apmēru, bet arī tiek veikta cita saimnieciskā darbība, projekta iesniedzējam proporcionāli šai infrastruktūras daļai platības, laika vai finanšu izteiksmē ir pienākums atmaksāt sadarbības iestādei saņemto nelikumīgo komercdarbības atbalstu kopā ar procentiem no līdzekļiem, kas brīvi no valsts atbalsta, saskaņā ar Komercdarbības atbalsta kontroles likuma IV vai V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Veselības ministrijai līdz projektu atlases uzsākšanai izstrādā un saskaņo ar CFLA papildinošas saimnieciskās darbības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6.punkta tabulā 4.1.1.5. pasākumam norādīto finansējumu, ņemot vērā, ka, sasummējot ERAF finansējumu un nacionālo VB finansējumu, veidojas  5 402 780 euro, nevis 5 402 781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noteikumu projektā un MK sēdes protokollēmuma projektā noradīto finansējumu 4.1.1.1. un 4.1.1.2. pasākumiem ar anotācijas 3.sadaļas 6.punktā norādīto finansējumu, ņemot vērā, ka tie atšķiras.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vienkāršoto izmaksu piemērošanas nosacījumus un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1.6. apakšpunktu, tā kā MK noteikumu projektā nav paredzētas vienkāršotās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Specifiskā atbalsta mērķa specifiskais iznākuma rādītājs ir noslēgto līgumu īpatsvars par ieguldījumiem veselības aprūpes infrastruktūras objektos - līdz 2029. gada 31. decembrim sasniedzot, ka pasākuma ietvaros noslēgti līgumi vai vienošanās par projektu īstenošanu 100 procentu apmērā no visiem ieguldījumiem, tai skaitā nodrošinot, ka uz 2024. gada 31. decembri būs noslēgti līgumi vai vienošanās par projektu īstenošanu vismaz par 10 procentiem no pasākumiem pieejamā kopējā attiecināmā finansējuma, kas ietver ES fondu finansējumu un nacionālo līdzfinansējumu, attiecīgi iekļaujot datus no 4.1.1.1., 4.1.1.2. un 4.1.1.5. pasākuma, kā arī no 4.1.1.3. pasākuma “Primārās veselības aprūpes lomas stiprināšana, attīstot infrastruktūru” (turpmāk – 4.1.1.3. pasākums) un 4.1.1.6. pasākuma “Hroniski slimo un nedziedināmi slimo pacientu aprūpei nepieciešamās infrastruktūras attīstība” (turpmāk – 4.1.1.6.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8.un 10.punktus, aizstājot "specifiskais iznākuma rādītājs" ar vārdiem "iznākuma rādītājs", ņemot vērā to, ka saskaņā ar Vadlīnijām Ministru kabineta noteikumu par specifiskā atbalsta mērķa īstenošanu izstrādei Eiropas Savienības fondu 2021.—2027. gada plānošanas periodā ir paredzēti trīs rādītāju veidi- iznākuma, rezultāta un nacionālie rādītāji.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Pilnvarojuma uzlicējam un finansējuma saņēmējam ir pienākums dokumentāciju par saņemto komercdarbības atbalstu glabāt 10 gadus no pilnvarojuma termiņa beigām, savukārt Centrālajai finanšu un līgumu aģentūrai kā sadarbības iestādei (turpmāk - sadarbības iestāde) ir pienākums dokumentāciju, kas saistīta ar komercdarbības atbalsta piešķiršanu, glabāt 10 gadus no atbalsta piešķiršanas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21.punktā vārdus "Centrālajai finanšu un līgumu aģentūrai kā sadarbības iestādei (turpmāk - sadarbības iestāde)" ar vārdiem "sadarbības iestādei", ņemot vērā, ka iestāde, kas veic sadarbības iestādes funkcijas ir noteikta ar Eiropas Savienības fondu 2021-2027.gada plānošanas perioda vadības likuma 12.panta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w:t>
            </w:r>
            <w:r w:rsidR="00000000" w:rsidRPr="00000000" w:rsidDel="00000000">
              <w:rPr>
                <w:rtl w:val="0"/>
              </w:rPr>
              <w:t xml:space="preserve">32.1.</w:t>
            </w:r>
            <w:r w:rsidR="00000000" w:rsidRPr="00000000" w:rsidDel="00000000">
              <w:rPr>
                <w:rtl w:val="0"/>
              </w:rPr>
              <w:t xml:space="preserve"> apakšpunktā minētās atbalstāmās darbības ietvaros ir attiecināmas finansējuma saņēmēja projekta vadības personāla atlīdzības izmaksas, kas radušās uz darba līguma vai uzņēmuma līguma pamata, tai skaitā normatīvajos aktos noteiktās piemaksas un nodokļi, šādā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vadlīniju Nr.1.2. "Vadlīnijas attiecināmo izmaksu noteikšanai Eiropas Savienības kohēzijas politikas programmas 2021.-2027.gada plānošanas periodā" 21.atsaucē noteikto lūdzam precizēt 33.1. un 33.2.apakšpunktu redakcijas attiecībā uz projekta tiešo attiecināmo izmaksu sliekšņiem (skat. 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ja projekta tiešās attiecināmās izmaksas ir </w:t>
            </w:r>
            <w:r w:rsidR="00000000" w:rsidRPr="00000000" w:rsidDel="00000000">
              <w:rPr>
                <w:b w:val="1"/>
                <w:rtl w:val="0"/>
              </w:rPr>
              <w:t xml:space="preserve">virs</w:t>
            </w:r>
            <w:r w:rsidR="00000000" w:rsidRPr="00000000" w:rsidDel="00000000">
              <w:rPr>
                <w:rtl w:val="0"/>
              </w:rPr>
              <w:t xml:space="preserve"> 5 000 000 euro - nepārsniedzot 84 787 euro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ja projekta tiešās attiecināmās izmaksas ir līdz 5 000 000 euro </w:t>
            </w:r>
            <w:r w:rsidR="00000000" w:rsidRPr="00000000" w:rsidDel="00000000">
              <w:rPr>
                <w:b w:val="1"/>
                <w:rtl w:val="0"/>
              </w:rPr>
              <w:t xml:space="preserve">(ieskaitot)</w:t>
            </w:r>
            <w:r w:rsidR="00000000" w:rsidRPr="00000000" w:rsidDel="00000000">
              <w:rPr>
                <w:rtl w:val="0"/>
              </w:rPr>
              <w:t xml:space="preserve">, ierobežojumu aprēķina ar minimālo izmaksu bāzi 34 422 euro gadā, pieskaitot 0,64 procentus no projekta tiešajām attiecināmajām izmaksām, bet neieskaitot projekta vadības personāla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45.2. iesniedzot projekta noslēguma maksājuma pieprasījumu.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noteikumu projekta 45.2.apakšpunktu un 47.punktu, svītrojot vārdu "projekta" pirms vārdiem "noslēguma maksājuma pieprasījumu".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Īstenojot projektu,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iekļaut pienākumu finansējuma saņēmējam izstrādāt nosacījumus, kā tas pārliecinās par interešu konflikta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pantā noteikto), krāpšanas un korupcijas risku neesamību, kā arī, noteikt, ka finansējuma saņēmējs paraksta apliecinājumu par interešu konflikta neesamību.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49.2.1. objektu skaits, kuros Eiropas Reģionālās attīstības fonda ieguldījumu rezultātā ir nodrošināta vides un informācijas pieejamība". Finansējuma saņēmējam ir pienākums sniegt minēto informāciju, iesniedzot pēdējo maksājuma pieprasījumu par visu projekta periodu;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49.2.1.punktā vārdu "pēdējo" ar vārdu "noslēguma", ņemot vērā Ministru kabineta 2023. gada 21. marta noteikumos Nr.135 "Eiropas Savienības fondu projektu pārbaužu veikšanas kārtība 2021.–2027. gada plānošanas periodā" noteiktos maksājumu veidus.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49.5. uzkrāj datus par par faktiski sasniegtiem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punktā minētajiem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finansējuma saņēmējs uzkrāj datus tikai par 7.un 10.punktā norādītajiem rādītājiem, lūdzam papildināt anotāciju ar informāciju par kārtību, kādā tiek nodrošināta pārējo rādītāju datu uzkrāšana un ziņošana KPVIS.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Projekta īstenošanas laikā finansējuma saņēmējs var saņemt avansa maksājumu saskaņā ar valsts budžeta līdzekļu plānošanas kārtību Eiropas Savienības fondu projektu īstenošanai un maksājumu veikšanai 2021.-2027.gada plānošanas periodā. Sadarbības iestāde, pamatojoties uz finansējuma saņēmēja pieprasījumu un atbilstoši projekta plānoto maksājumu pieprasījumu iesniegšanas grafikam, veicot avansa un starpposma maksājumus, ievēro nosacījumu, ka to kopsumma nepārsniedz 90 procentus no projektam piešķirtā Eiropas Reģionālās attīstības fonda finansējuma. Avansa maksājumu ir iespējams saņemt vairākos maksājumos.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52.punktu, norādot, kāds ir maksimālais viena avansa maksājuma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salāgot informāciju anotācijā ar noteikumu projektu attiecībā uz to, par kādiem rādītājiem finansējuma saņēmējs uzkrāj datus. Vēršam uzmanību, ka saskaņā ar noteikumu projekta 49.5. apakšpunktu finansējuma saņēmējs uzkrāj datus par 7. un 10. punktā minētajiem rādītājiem, kas ir iznākuma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rindkopā, kurā norādīts pasākuma kopējais finansējums, tiek norādīts finansējums par vairākiem pasākumiem, lūgums precizēt anotācijas tekstu, norādot, ka finansējums norādīts par 4.1.1.1. pasākuma pirmo kārtu, 4.1.1.2. un 4.1.1.5. pasākumiem.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4.1.1.1. pasākuma pirmās kārtas, 4.1.1.2. un 4.1.1.5. pasākumu ietvaros plānotais kopējais attiecināmais finansējums ir 243 890 286 euro,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23-TA-742</w:t>
    </w:r>
    <w:r>
      <w:br/>
    </w:r>
    <w:r w:rsidR="00000000" w:rsidRPr="00000000" w:rsidDel="00000000">
      <w:rPr>
        <w:rtl w:val="0"/>
      </w:rPr>
      <w:t xml:space="preserve">Izdrukāts 21.06.2023. 16.32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23-TA-742</w:t>
    </w:r>
    <w:r>
      <w:br/>
    </w:r>
    <w:r w:rsidR="00000000" w:rsidRPr="00000000" w:rsidDel="00000000">
      <w:rPr>
        <w:rtl w:val="0"/>
      </w:rPr>
      <w:t xml:space="preserve">Izdrukāts 21.06.2023. 16.32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Atzinumi_23-TA-742.docx</dc:title>
</cp:coreProperties>
</file>

<file path=docProps/custom.xml><?xml version="1.0" encoding="utf-8"?>
<Properties xmlns="http://schemas.openxmlformats.org/officeDocument/2006/custom-properties" xmlns:vt="http://schemas.openxmlformats.org/officeDocument/2006/docPropsVTypes"/>
</file>