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Likumprojekta sākotnējās ietekmes novērtējuma ziņojuma (turpmāk - anotācija) 1.3. sadaļā ietverta šāda informācija: "Brīvības atņemšanas iestādes administrācija ne vēlāk kā 30 dienas pirms šāda notiesātā atbrīvošanas informē Valsts robežsardzi par šāda notiesātā atbrīvošanas datumu, bet informāciju par notiesātajiem, </w:t>
            </w:r>
            <w:r w:rsidR="00000000" w:rsidRPr="00000000" w:rsidDel="00000000">
              <w:rPr>
                <w:u w:val="single"/>
                <w:rtl w:val="0"/>
              </w:rPr>
              <w:t xml:space="preserve">kuri tiek citos gadījumos, nosūta </w:t>
            </w:r>
            <w:r w:rsidR="00000000" w:rsidRPr="00000000" w:rsidDel="00000000">
              <w:rPr>
                <w:rtl w:val="0"/>
              </w:rPr>
              <w:t xml:space="preserve">nekavējoties pēc lēmuma vai attiecīga dokumenta saņemšanas.".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Redakcionāli precizēt minēto anotācijas teikumu, lai būtu nepārprotami uztverama tajā ietvertā doma, salāgojot tā redakciju ar likumprojekta 239. panta trešo 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Sproģe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17.04.2026.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17.04.2026.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