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C439591" w14:textId="77777777" w:rsidR="00F970DF" w:rsidRDefault="00F970DF" w:rsidP="00F970DF">
      <w:pPr>
        <w:tabs>
          <w:tab w:val="left" w:pos="3686"/>
        </w:tabs>
        <w:spacing w:after="160" w:line="276" w:lineRule="auto"/>
        <w:contextualSpacing/>
        <w:jc w:val="right"/>
        <w:rPr>
          <w:rFonts w:ascii="Book Antiqua" w:eastAsia="Calibri" w:hAnsi="Book Antiqua"/>
          <w:bCs/>
        </w:rPr>
      </w:pPr>
    </w:p>
    <w:p w14:paraId="4B532773" w14:textId="32C32CFE" w:rsidR="00F970DF" w:rsidRPr="00AB3EE4" w:rsidRDefault="00F970DF" w:rsidP="00F970DF">
      <w:pPr>
        <w:tabs>
          <w:tab w:val="left" w:pos="3686"/>
        </w:tabs>
        <w:spacing w:after="160" w:line="276" w:lineRule="auto"/>
        <w:contextualSpacing/>
        <w:jc w:val="right"/>
        <w:rPr>
          <w:rFonts w:ascii="Book Antiqua" w:eastAsia="Calibri" w:hAnsi="Book Antiqua"/>
          <w:b/>
        </w:rPr>
      </w:pPr>
      <w:r w:rsidRPr="00AB3EE4">
        <w:rPr>
          <w:rFonts w:ascii="Book Antiqua" w:eastAsia="Calibri" w:hAnsi="Book Antiqua"/>
          <w:b/>
        </w:rPr>
        <w:t>Ekonomikas ministrija</w:t>
      </w:r>
      <w:r w:rsidR="00AB3EE4" w:rsidRPr="00AB3EE4">
        <w:rPr>
          <w:rFonts w:ascii="Book Antiqua" w:eastAsia="Calibri" w:hAnsi="Book Antiqua"/>
          <w:b/>
        </w:rPr>
        <w:t>i</w:t>
      </w:r>
    </w:p>
    <w:p w14:paraId="769A4F1B" w14:textId="77777777" w:rsidR="00F970DF" w:rsidRPr="00A102C5" w:rsidRDefault="00715A49" w:rsidP="00F970DF">
      <w:pPr>
        <w:tabs>
          <w:tab w:val="left" w:pos="3686"/>
        </w:tabs>
        <w:spacing w:after="160" w:line="276" w:lineRule="auto"/>
        <w:contextualSpacing/>
        <w:jc w:val="right"/>
        <w:rPr>
          <w:rFonts w:ascii="Book Antiqua" w:eastAsia="Calibri" w:hAnsi="Book Antiqua"/>
          <w:bCs/>
          <w:i/>
          <w:iCs/>
        </w:rPr>
      </w:pPr>
      <w:hyperlink r:id="rId8" w:history="1">
        <w:r w:rsidR="00F970DF" w:rsidRPr="00A102C5">
          <w:rPr>
            <w:rFonts w:ascii="Book Antiqua" w:eastAsia="Calibri" w:hAnsi="Book Antiqua"/>
            <w:bCs/>
            <w:i/>
            <w:iCs/>
            <w:color w:val="0563C1"/>
            <w:u w:val="single"/>
          </w:rPr>
          <w:t>pasts@em.gov.lv</w:t>
        </w:r>
      </w:hyperlink>
      <w:r w:rsidR="00F970DF" w:rsidRPr="00A102C5">
        <w:rPr>
          <w:rFonts w:ascii="Book Antiqua" w:eastAsia="Calibri" w:hAnsi="Book Antiqua"/>
          <w:bCs/>
          <w:i/>
          <w:iCs/>
        </w:rPr>
        <w:t xml:space="preserve"> </w:t>
      </w:r>
    </w:p>
    <w:p w14:paraId="18D9C695" w14:textId="64DD3018" w:rsidR="00F970DF" w:rsidRDefault="00F970DF" w:rsidP="00F970DF">
      <w:pPr>
        <w:tabs>
          <w:tab w:val="left" w:pos="3686"/>
        </w:tabs>
        <w:spacing w:after="160" w:line="276" w:lineRule="auto"/>
        <w:contextualSpacing/>
        <w:jc w:val="right"/>
        <w:rPr>
          <w:rFonts w:ascii="Book Antiqua" w:eastAsia="Calibri" w:hAnsi="Book Antiqua"/>
        </w:rPr>
      </w:pPr>
    </w:p>
    <w:p w14:paraId="503CF34A" w14:textId="04A1C9CB" w:rsidR="00F970DF" w:rsidRPr="00F970DF" w:rsidRDefault="00F970DF" w:rsidP="00C209CB">
      <w:pPr>
        <w:tabs>
          <w:tab w:val="left" w:pos="3686"/>
        </w:tabs>
        <w:spacing w:after="160" w:line="276" w:lineRule="auto"/>
        <w:contextualSpacing/>
        <w:jc w:val="right"/>
        <w:rPr>
          <w:rFonts w:ascii="Book Antiqua" w:eastAsia="Calibri" w:hAnsi="Book Antiqua"/>
          <w:b/>
        </w:rPr>
      </w:pPr>
      <w:r w:rsidRPr="00F970DF">
        <w:rPr>
          <w:rFonts w:ascii="Book Antiqua" w:eastAsia="Calibri" w:hAnsi="Book Antiqua"/>
          <w:b/>
        </w:rPr>
        <w:t>Zvērināts advokāts</w:t>
      </w:r>
      <w:r w:rsidR="00AB3EE4">
        <w:rPr>
          <w:rFonts w:ascii="Book Antiqua" w:eastAsia="Calibri" w:hAnsi="Book Antiqua"/>
          <w:b/>
        </w:rPr>
        <w:t xml:space="preserve"> </w:t>
      </w:r>
      <w:r w:rsidRPr="00F970DF">
        <w:rPr>
          <w:rFonts w:ascii="Book Antiqua" w:eastAsia="Calibri" w:hAnsi="Book Antiqua"/>
          <w:b/>
        </w:rPr>
        <w:t>Artūrs Spīgulis</w:t>
      </w:r>
    </w:p>
    <w:p w14:paraId="4D4E2D28" w14:textId="10A8B6B1" w:rsidR="00F970DF" w:rsidRPr="00F970DF" w:rsidRDefault="00F970DF" w:rsidP="00F970DF">
      <w:pPr>
        <w:tabs>
          <w:tab w:val="left" w:pos="3686"/>
        </w:tabs>
        <w:spacing w:after="160" w:line="276" w:lineRule="auto"/>
        <w:contextualSpacing/>
        <w:jc w:val="right"/>
        <w:rPr>
          <w:rFonts w:ascii="Book Antiqua" w:eastAsia="Calibri" w:hAnsi="Book Antiqua"/>
        </w:rPr>
      </w:pPr>
      <w:r w:rsidRPr="00F970DF">
        <w:rPr>
          <w:rFonts w:ascii="Book Antiqua" w:eastAsia="Calibri" w:hAnsi="Book Antiqua"/>
        </w:rPr>
        <w:t xml:space="preserve">prakses vieta: </w:t>
      </w:r>
      <w:r w:rsidR="00A22278">
        <w:rPr>
          <w:rFonts w:ascii="Book Antiqua" w:eastAsia="Calibri" w:hAnsi="Book Antiqua"/>
        </w:rPr>
        <w:t>SIA “</w:t>
      </w:r>
      <w:r w:rsidRPr="00F970DF">
        <w:rPr>
          <w:rFonts w:ascii="Book Antiqua" w:eastAsia="Calibri" w:hAnsi="Book Antiqua"/>
        </w:rPr>
        <w:t>ZAB Spīgulis &amp; Kukainis”</w:t>
      </w:r>
    </w:p>
    <w:p w14:paraId="4B27381D" w14:textId="7E49F116" w:rsidR="00F970DF" w:rsidRPr="00F970DF" w:rsidRDefault="00F970DF" w:rsidP="00F970DF">
      <w:pPr>
        <w:tabs>
          <w:tab w:val="left" w:pos="3686"/>
        </w:tabs>
        <w:spacing w:after="160" w:line="276" w:lineRule="auto"/>
        <w:contextualSpacing/>
        <w:jc w:val="right"/>
        <w:rPr>
          <w:rFonts w:ascii="Book Antiqua" w:eastAsia="Calibri" w:hAnsi="Book Antiqua"/>
        </w:rPr>
      </w:pPr>
      <w:r w:rsidRPr="00F970DF">
        <w:rPr>
          <w:rFonts w:ascii="Book Antiqua" w:eastAsia="Calibri" w:hAnsi="Book Antiqua"/>
        </w:rPr>
        <w:t>Vaļņu iela 3</w:t>
      </w:r>
      <w:r w:rsidR="00A22278">
        <w:rPr>
          <w:rFonts w:ascii="Book Antiqua" w:eastAsia="Calibri" w:hAnsi="Book Antiqua"/>
        </w:rPr>
        <w:t>-25</w:t>
      </w:r>
      <w:r w:rsidRPr="00F970DF">
        <w:rPr>
          <w:rFonts w:ascii="Book Antiqua" w:eastAsia="Calibri" w:hAnsi="Book Antiqua"/>
        </w:rPr>
        <w:t xml:space="preserve">, Rīga, LV-1050 </w:t>
      </w:r>
    </w:p>
    <w:p w14:paraId="3AA08F8B" w14:textId="77777777" w:rsidR="00F970DF" w:rsidRPr="00F970DF" w:rsidRDefault="00F970DF" w:rsidP="00F970DF">
      <w:pPr>
        <w:tabs>
          <w:tab w:val="left" w:pos="3686"/>
        </w:tabs>
        <w:spacing w:after="160" w:line="276" w:lineRule="auto"/>
        <w:contextualSpacing/>
        <w:jc w:val="right"/>
        <w:rPr>
          <w:rFonts w:ascii="Book Antiqua" w:eastAsia="Calibri" w:hAnsi="Book Antiqua"/>
        </w:rPr>
      </w:pPr>
      <w:r w:rsidRPr="00F970DF">
        <w:rPr>
          <w:rFonts w:ascii="Book Antiqua" w:eastAsia="Calibri" w:hAnsi="Book Antiqua"/>
        </w:rPr>
        <w:t xml:space="preserve">E-pasts: </w:t>
      </w:r>
      <w:hyperlink r:id="rId9" w:history="1">
        <w:r w:rsidRPr="00F970DF">
          <w:rPr>
            <w:rFonts w:ascii="Book Antiqua" w:eastAsia="Calibri" w:hAnsi="Book Antiqua"/>
            <w:i/>
            <w:color w:val="0563C1"/>
            <w:u w:val="single"/>
          </w:rPr>
          <w:t>arturs.spigulis@ska.lv</w:t>
        </w:r>
      </w:hyperlink>
      <w:r w:rsidRPr="00F970DF">
        <w:rPr>
          <w:rFonts w:ascii="Book Antiqua" w:eastAsia="Calibri" w:hAnsi="Book Antiqua"/>
        </w:rPr>
        <w:t xml:space="preserve"> </w:t>
      </w:r>
    </w:p>
    <w:p w14:paraId="3AA49CB5" w14:textId="77777777" w:rsidR="00F970DF" w:rsidRPr="00F970DF" w:rsidRDefault="00F970DF" w:rsidP="00F970DF">
      <w:pPr>
        <w:tabs>
          <w:tab w:val="left" w:pos="3686"/>
        </w:tabs>
        <w:spacing w:after="160" w:line="276" w:lineRule="auto"/>
        <w:contextualSpacing/>
        <w:rPr>
          <w:rFonts w:ascii="Book Antiqua" w:eastAsia="Calibri" w:hAnsi="Book Antiqua"/>
        </w:rPr>
      </w:pPr>
    </w:p>
    <w:p w14:paraId="581C8D77" w14:textId="59A52140" w:rsidR="00F970DF" w:rsidRPr="00F970DF" w:rsidRDefault="00F970DF" w:rsidP="00F970DF">
      <w:pPr>
        <w:tabs>
          <w:tab w:val="left" w:pos="3686"/>
        </w:tabs>
        <w:spacing w:after="160" w:line="276" w:lineRule="auto"/>
        <w:contextualSpacing/>
        <w:rPr>
          <w:rFonts w:ascii="Book Antiqua" w:eastAsia="Calibri" w:hAnsi="Book Antiqua"/>
        </w:rPr>
      </w:pPr>
      <w:r w:rsidRPr="00F970DF">
        <w:rPr>
          <w:rFonts w:ascii="Book Antiqua" w:eastAsia="Calibri" w:hAnsi="Book Antiqua"/>
        </w:rPr>
        <w:t>Rīgā 202</w:t>
      </w:r>
      <w:r w:rsidR="00841895">
        <w:rPr>
          <w:rFonts w:ascii="Book Antiqua" w:eastAsia="Calibri" w:hAnsi="Book Antiqua"/>
        </w:rPr>
        <w:t>1</w:t>
      </w:r>
      <w:r w:rsidRPr="00F970DF">
        <w:rPr>
          <w:rFonts w:ascii="Book Antiqua" w:eastAsia="Calibri" w:hAnsi="Book Antiqua"/>
        </w:rPr>
        <w:t>. gada</w:t>
      </w:r>
      <w:r w:rsidR="00A97335">
        <w:rPr>
          <w:rFonts w:ascii="Book Antiqua" w:eastAsia="Calibri" w:hAnsi="Book Antiqua"/>
        </w:rPr>
        <w:t xml:space="preserve"> </w:t>
      </w:r>
      <w:r w:rsidR="00A22278">
        <w:rPr>
          <w:rFonts w:ascii="Book Antiqua" w:eastAsia="Calibri" w:hAnsi="Book Antiqua"/>
        </w:rPr>
        <w:t xml:space="preserve">29. septembrī </w:t>
      </w:r>
    </w:p>
    <w:p w14:paraId="5A6BF388" w14:textId="758AC6E2" w:rsidR="00F970DF" w:rsidRPr="00F970DF" w:rsidRDefault="00C209CB" w:rsidP="00F970DF">
      <w:pPr>
        <w:tabs>
          <w:tab w:val="left" w:pos="3686"/>
        </w:tabs>
        <w:spacing w:after="160" w:line="276" w:lineRule="auto"/>
        <w:contextualSpacing/>
        <w:rPr>
          <w:rFonts w:ascii="Book Antiqua" w:eastAsia="Calibri" w:hAnsi="Book Antiqua"/>
        </w:rPr>
      </w:pPr>
      <w:r>
        <w:rPr>
          <w:rFonts w:ascii="Book Antiqua" w:eastAsia="Calibri" w:hAnsi="Book Antiqua"/>
        </w:rPr>
        <w:t>Reģ. Nr. 202</w:t>
      </w:r>
      <w:r w:rsidR="009122F8">
        <w:rPr>
          <w:rFonts w:ascii="Book Antiqua" w:eastAsia="Calibri" w:hAnsi="Book Antiqua"/>
        </w:rPr>
        <w:t>1</w:t>
      </w:r>
      <w:r>
        <w:rPr>
          <w:rFonts w:ascii="Book Antiqua" w:eastAsia="Calibri" w:hAnsi="Book Antiqua"/>
        </w:rPr>
        <w:t>/</w:t>
      </w:r>
      <w:r w:rsidR="00A51843">
        <w:rPr>
          <w:rFonts w:ascii="Book Antiqua" w:eastAsia="Calibri" w:hAnsi="Book Antiqua"/>
        </w:rPr>
        <w:t>09</w:t>
      </w:r>
      <w:r w:rsidRPr="002A36DC">
        <w:rPr>
          <w:rFonts w:ascii="Book Antiqua" w:eastAsia="Calibri" w:hAnsi="Book Antiqua"/>
        </w:rPr>
        <w:t>/</w:t>
      </w:r>
      <w:r w:rsidR="00A51843">
        <w:rPr>
          <w:rFonts w:ascii="Book Antiqua" w:eastAsia="Calibri" w:hAnsi="Book Antiqua"/>
        </w:rPr>
        <w:t>29</w:t>
      </w:r>
      <w:r w:rsidR="00F970DF" w:rsidRPr="002A36DC">
        <w:rPr>
          <w:rFonts w:ascii="Book Antiqua" w:eastAsia="Calibri" w:hAnsi="Book Antiqua"/>
        </w:rPr>
        <w:t>/</w:t>
      </w:r>
      <w:r w:rsidRPr="002A36DC">
        <w:rPr>
          <w:rFonts w:ascii="Book Antiqua" w:eastAsia="Calibri" w:hAnsi="Book Antiqua"/>
        </w:rPr>
        <w:t>1</w:t>
      </w:r>
    </w:p>
    <w:p w14:paraId="7A6A986C" w14:textId="77777777" w:rsidR="00F970DF" w:rsidRPr="00F970DF" w:rsidRDefault="00F970DF" w:rsidP="00F970DF">
      <w:pPr>
        <w:spacing w:after="120" w:line="276" w:lineRule="auto"/>
        <w:jc w:val="center"/>
        <w:rPr>
          <w:rFonts w:ascii="Book Antiqua" w:eastAsia="Calibri" w:hAnsi="Book Antiqua"/>
          <w:b/>
        </w:rPr>
      </w:pPr>
    </w:p>
    <w:p w14:paraId="66665647" w14:textId="3BAE2DA8" w:rsidR="00F970DF" w:rsidRPr="00F970DF" w:rsidRDefault="002A36DC" w:rsidP="00F970DF">
      <w:pPr>
        <w:spacing w:after="120" w:line="276" w:lineRule="auto"/>
        <w:rPr>
          <w:rFonts w:ascii="Book Antiqua" w:eastAsia="Calibri" w:hAnsi="Book Antiqua"/>
          <w:b/>
          <w:i/>
        </w:rPr>
      </w:pPr>
      <w:r>
        <w:rPr>
          <w:rFonts w:ascii="Book Antiqua" w:eastAsia="Calibri" w:hAnsi="Book Antiqua"/>
          <w:b/>
          <w:i/>
        </w:rPr>
        <w:t>P</w:t>
      </w:r>
      <w:r w:rsidR="00F970DF" w:rsidRPr="00F970DF">
        <w:rPr>
          <w:rFonts w:ascii="Book Antiqua" w:eastAsia="Calibri" w:hAnsi="Book Antiqua"/>
          <w:b/>
          <w:i/>
        </w:rPr>
        <w:t>ar likumprojekt</w:t>
      </w:r>
      <w:r>
        <w:rPr>
          <w:rFonts w:ascii="Book Antiqua" w:eastAsia="Calibri" w:hAnsi="Book Antiqua"/>
          <w:b/>
          <w:i/>
        </w:rPr>
        <w:t>a</w:t>
      </w:r>
      <w:r w:rsidR="00F970DF" w:rsidRPr="00F970DF">
        <w:rPr>
          <w:rFonts w:ascii="Book Antiqua" w:eastAsia="Calibri" w:hAnsi="Book Antiqua"/>
          <w:b/>
          <w:i/>
        </w:rPr>
        <w:t xml:space="preserve"> “Grozījumi Konkurences likumā”</w:t>
      </w:r>
      <w:r w:rsidR="00AB3EE4">
        <w:rPr>
          <w:rFonts w:ascii="Book Antiqua" w:eastAsia="Calibri" w:hAnsi="Book Antiqua"/>
          <w:b/>
          <w:i/>
        </w:rPr>
        <w:t xml:space="preserve"> (VSS-864)</w:t>
      </w:r>
      <w:r>
        <w:rPr>
          <w:rFonts w:ascii="Book Antiqua" w:eastAsia="Calibri" w:hAnsi="Book Antiqua"/>
          <w:b/>
          <w:i/>
        </w:rPr>
        <w:t xml:space="preserve"> saskaņošanu</w:t>
      </w:r>
    </w:p>
    <w:p w14:paraId="22EDB6AD" w14:textId="217FFADE" w:rsidR="007B5677" w:rsidRPr="00F562EE" w:rsidRDefault="001906CF" w:rsidP="00064023">
      <w:pPr>
        <w:spacing w:after="120" w:line="259" w:lineRule="auto"/>
        <w:ind w:firstLine="567"/>
        <w:jc w:val="both"/>
        <w:rPr>
          <w:rFonts w:ascii="Book Antiqua" w:eastAsia="Calibri" w:hAnsi="Book Antiqua"/>
        </w:rPr>
      </w:pPr>
      <w:r>
        <w:rPr>
          <w:rFonts w:ascii="Book Antiqua" w:eastAsia="Calibri" w:hAnsi="Book Antiqua"/>
        </w:rPr>
        <w:t xml:space="preserve">Gan </w:t>
      </w:r>
      <w:r w:rsidRPr="00F562EE">
        <w:rPr>
          <w:rFonts w:ascii="Book Antiqua" w:eastAsia="Calibri" w:hAnsi="Book Antiqua"/>
        </w:rPr>
        <w:t>z</w:t>
      </w:r>
      <w:r w:rsidR="00221ADF" w:rsidRPr="00F562EE">
        <w:rPr>
          <w:rFonts w:ascii="Book Antiqua" w:eastAsia="Calibri" w:hAnsi="Book Antiqua"/>
        </w:rPr>
        <w:t>v</w:t>
      </w:r>
      <w:r w:rsidR="002A36DC" w:rsidRPr="00F562EE">
        <w:rPr>
          <w:rFonts w:ascii="Book Antiqua" w:eastAsia="Calibri" w:hAnsi="Book Antiqua"/>
        </w:rPr>
        <w:t>ērinātu advokātu biroj</w:t>
      </w:r>
      <w:r w:rsidR="00221ADF" w:rsidRPr="00F562EE">
        <w:rPr>
          <w:rFonts w:ascii="Book Antiqua" w:eastAsia="Calibri" w:hAnsi="Book Antiqua"/>
        </w:rPr>
        <w:t>s</w:t>
      </w:r>
      <w:r w:rsidR="00040346">
        <w:rPr>
          <w:rFonts w:ascii="Book Antiqua" w:eastAsia="Calibri" w:hAnsi="Book Antiqua"/>
        </w:rPr>
        <w:t xml:space="preserve"> </w:t>
      </w:r>
      <w:r w:rsidR="002A36DC" w:rsidRPr="00F562EE">
        <w:rPr>
          <w:rFonts w:ascii="Book Antiqua" w:eastAsia="Calibri" w:hAnsi="Book Antiqua"/>
        </w:rPr>
        <w:t>“Spīgulis &amp; Kukainis”</w:t>
      </w:r>
      <w:r w:rsidR="00040346">
        <w:rPr>
          <w:rFonts w:ascii="Book Antiqua" w:eastAsia="Calibri" w:hAnsi="Book Antiqua"/>
        </w:rPr>
        <w:t xml:space="preserve"> (kopš 2021.gada 10.septembra nosaukums SIA “ZAB Spīgulis</w:t>
      </w:r>
      <w:r w:rsidR="00A40CCC">
        <w:rPr>
          <w:rFonts w:ascii="Book Antiqua" w:eastAsia="Calibri" w:hAnsi="Book Antiqua"/>
        </w:rPr>
        <w:t> </w:t>
      </w:r>
      <w:r w:rsidR="00040346">
        <w:rPr>
          <w:rFonts w:ascii="Book Antiqua" w:eastAsia="Calibri" w:hAnsi="Book Antiqua"/>
        </w:rPr>
        <w:t>&amp;</w:t>
      </w:r>
      <w:r w:rsidR="00A40CCC">
        <w:rPr>
          <w:rFonts w:ascii="Book Antiqua" w:eastAsia="Calibri" w:hAnsi="Book Antiqua"/>
        </w:rPr>
        <w:t> </w:t>
      </w:r>
      <w:r w:rsidR="00040346">
        <w:rPr>
          <w:rFonts w:ascii="Book Antiqua" w:eastAsia="Calibri" w:hAnsi="Book Antiqua"/>
        </w:rPr>
        <w:t>Kukainis”)</w:t>
      </w:r>
      <w:r w:rsidRPr="00F562EE">
        <w:rPr>
          <w:rFonts w:ascii="Book Antiqua" w:eastAsia="Calibri" w:hAnsi="Book Antiqua"/>
        </w:rPr>
        <w:t>, gan atsevišķi arī</w:t>
      </w:r>
      <w:r w:rsidR="00214913">
        <w:rPr>
          <w:rFonts w:ascii="Book Antiqua" w:eastAsia="Calibri" w:hAnsi="Book Antiqua"/>
        </w:rPr>
        <w:t xml:space="preserve"> es,</w:t>
      </w:r>
      <w:r w:rsidRPr="00F562EE">
        <w:rPr>
          <w:rFonts w:ascii="Book Antiqua" w:eastAsia="Calibri" w:hAnsi="Book Antiqua"/>
        </w:rPr>
        <w:t xml:space="preserve"> </w:t>
      </w:r>
      <w:r w:rsidR="00214913">
        <w:rPr>
          <w:rFonts w:ascii="Book Antiqua" w:eastAsia="Calibri" w:hAnsi="Book Antiqua"/>
        </w:rPr>
        <w:t>biroja</w:t>
      </w:r>
      <w:r w:rsidR="00221ADF" w:rsidRPr="00F562EE">
        <w:rPr>
          <w:rFonts w:ascii="Book Antiqua" w:eastAsia="Calibri" w:hAnsi="Book Antiqua"/>
        </w:rPr>
        <w:t xml:space="preserve"> </w:t>
      </w:r>
      <w:r w:rsidR="00F7624C" w:rsidRPr="00F562EE">
        <w:rPr>
          <w:rFonts w:ascii="Book Antiqua" w:eastAsia="Calibri" w:hAnsi="Book Antiqua"/>
        </w:rPr>
        <w:t>partneris</w:t>
      </w:r>
      <w:r w:rsidR="00221ADF" w:rsidRPr="00F562EE">
        <w:rPr>
          <w:rFonts w:ascii="Book Antiqua" w:eastAsia="Calibri" w:hAnsi="Book Antiqua"/>
        </w:rPr>
        <w:t xml:space="preserve"> Artūrs Spīgulis</w:t>
      </w:r>
      <w:r w:rsidR="00214913">
        <w:rPr>
          <w:rFonts w:ascii="Book Antiqua" w:eastAsia="Calibri" w:hAnsi="Book Antiqua"/>
        </w:rPr>
        <w:t>, esam</w:t>
      </w:r>
      <w:r w:rsidR="00221ADF" w:rsidRPr="00F562EE">
        <w:rPr>
          <w:rFonts w:ascii="Book Antiqua" w:eastAsia="Calibri" w:hAnsi="Book Antiqua"/>
        </w:rPr>
        <w:t xml:space="preserve"> </w:t>
      </w:r>
      <w:r w:rsidR="00F7624C" w:rsidRPr="00F562EE">
        <w:rPr>
          <w:rFonts w:ascii="Book Antiqua" w:eastAsia="Calibri" w:hAnsi="Book Antiqua"/>
        </w:rPr>
        <w:t>saņēm</w:t>
      </w:r>
      <w:r w:rsidR="00221ADF" w:rsidRPr="00F562EE">
        <w:rPr>
          <w:rFonts w:ascii="Book Antiqua" w:eastAsia="Calibri" w:hAnsi="Book Antiqua"/>
        </w:rPr>
        <w:t>uši</w:t>
      </w:r>
      <w:r w:rsidR="002A36DC" w:rsidRPr="00F562EE">
        <w:rPr>
          <w:rFonts w:ascii="Book Antiqua" w:eastAsia="Calibri" w:hAnsi="Book Antiqua"/>
        </w:rPr>
        <w:t xml:space="preserve"> Ekonomikas ministrijas</w:t>
      </w:r>
      <w:r w:rsidRPr="00F562EE">
        <w:rPr>
          <w:rFonts w:ascii="Book Antiqua" w:eastAsia="Calibri" w:hAnsi="Book Antiqua"/>
        </w:rPr>
        <w:t xml:space="preserve"> 2021.gada </w:t>
      </w:r>
      <w:r w:rsidR="00040346">
        <w:rPr>
          <w:rFonts w:ascii="Book Antiqua" w:eastAsia="Calibri" w:hAnsi="Book Antiqua"/>
        </w:rPr>
        <w:t>24</w:t>
      </w:r>
      <w:r w:rsidRPr="00F562EE">
        <w:rPr>
          <w:rFonts w:ascii="Book Antiqua" w:eastAsia="Calibri" w:hAnsi="Book Antiqua"/>
        </w:rPr>
        <w:t>.</w:t>
      </w:r>
      <w:r w:rsidR="00040346">
        <w:rPr>
          <w:rFonts w:ascii="Book Antiqua" w:eastAsia="Calibri" w:hAnsi="Book Antiqua"/>
        </w:rPr>
        <w:t xml:space="preserve">septembra </w:t>
      </w:r>
      <w:r w:rsidRPr="00F562EE">
        <w:rPr>
          <w:rFonts w:ascii="Book Antiqua" w:eastAsia="Calibri" w:hAnsi="Book Antiqua"/>
        </w:rPr>
        <w:t>vēstuli</w:t>
      </w:r>
      <w:r w:rsidR="00040346">
        <w:rPr>
          <w:rFonts w:ascii="Book Antiqua" w:eastAsia="Calibri" w:hAnsi="Book Antiqua"/>
        </w:rPr>
        <w:t xml:space="preserve"> Nr.3.1-10/2691</w:t>
      </w:r>
      <w:r w:rsidRPr="00F562EE">
        <w:rPr>
          <w:rFonts w:ascii="Book Antiqua" w:eastAsia="Calibri" w:hAnsi="Book Antiqua"/>
        </w:rPr>
        <w:t xml:space="preserve">, ar kuru </w:t>
      </w:r>
      <w:r w:rsidR="00040346">
        <w:rPr>
          <w:rFonts w:ascii="Book Antiqua" w:eastAsia="Calibri" w:hAnsi="Book Antiqua"/>
        </w:rPr>
        <w:t>s</w:t>
      </w:r>
      <w:r w:rsidRPr="00F562EE">
        <w:rPr>
          <w:rFonts w:ascii="Book Antiqua" w:eastAsia="Calibri" w:hAnsi="Book Antiqua"/>
        </w:rPr>
        <w:t xml:space="preserve">askaņošanai </w:t>
      </w:r>
      <w:r w:rsidR="00040346">
        <w:rPr>
          <w:rFonts w:ascii="Book Antiqua" w:eastAsia="Calibri" w:hAnsi="Book Antiqua"/>
        </w:rPr>
        <w:t>tiek nosūtīta</w:t>
      </w:r>
      <w:r w:rsidR="00033006">
        <w:rPr>
          <w:rFonts w:ascii="Book Antiqua" w:eastAsia="Calibri" w:hAnsi="Book Antiqua"/>
        </w:rPr>
        <w:t xml:space="preserve"> jaunākā</w:t>
      </w:r>
      <w:r w:rsidR="00040346">
        <w:rPr>
          <w:rFonts w:ascii="Book Antiqua" w:eastAsia="Calibri" w:hAnsi="Book Antiqua"/>
        </w:rPr>
        <w:t xml:space="preserve"> </w:t>
      </w:r>
      <w:r w:rsidR="002A36DC" w:rsidRPr="00F562EE">
        <w:rPr>
          <w:rFonts w:ascii="Book Antiqua" w:eastAsia="Calibri" w:hAnsi="Book Antiqua"/>
        </w:rPr>
        <w:t>precizēt</w:t>
      </w:r>
      <w:r w:rsidR="00040346">
        <w:rPr>
          <w:rFonts w:ascii="Book Antiqua" w:eastAsia="Calibri" w:hAnsi="Book Antiqua"/>
        </w:rPr>
        <w:t>ā</w:t>
      </w:r>
      <w:r w:rsidR="002A36DC" w:rsidRPr="00F562EE">
        <w:rPr>
          <w:rFonts w:ascii="Book Antiqua" w:eastAsia="Calibri" w:hAnsi="Book Antiqua"/>
        </w:rPr>
        <w:t xml:space="preserve"> likumprojekt</w:t>
      </w:r>
      <w:r w:rsidR="00040346">
        <w:rPr>
          <w:rFonts w:ascii="Book Antiqua" w:eastAsia="Calibri" w:hAnsi="Book Antiqua"/>
        </w:rPr>
        <w:t>a</w:t>
      </w:r>
      <w:r w:rsidR="002A36DC" w:rsidRPr="00F562EE">
        <w:rPr>
          <w:rFonts w:ascii="Book Antiqua" w:eastAsia="Calibri" w:hAnsi="Book Antiqua"/>
        </w:rPr>
        <w:t xml:space="preserve"> “Grozījumi Konkurences likumā”</w:t>
      </w:r>
      <w:r w:rsidRPr="00F562EE">
        <w:rPr>
          <w:rFonts w:ascii="Book Antiqua" w:eastAsia="Calibri" w:hAnsi="Book Antiqua"/>
        </w:rPr>
        <w:t xml:space="preserve"> (VSS-864)</w:t>
      </w:r>
      <w:r w:rsidR="00F7624C" w:rsidRPr="00F562EE">
        <w:rPr>
          <w:rFonts w:ascii="Book Antiqua" w:eastAsia="Calibri" w:hAnsi="Book Antiqua"/>
        </w:rPr>
        <w:t xml:space="preserve"> (turpmāk – Likumprojekts)</w:t>
      </w:r>
      <w:r w:rsidR="002A36DC" w:rsidRPr="00F562EE">
        <w:rPr>
          <w:rFonts w:ascii="Book Antiqua" w:eastAsia="Calibri" w:hAnsi="Book Antiqua"/>
        </w:rPr>
        <w:t>, sākotnējās ietekmes novērtējuma ziņojum</w:t>
      </w:r>
      <w:r w:rsidR="00033006">
        <w:rPr>
          <w:rFonts w:ascii="Book Antiqua" w:eastAsia="Calibri" w:hAnsi="Book Antiqua"/>
        </w:rPr>
        <w:t>a</w:t>
      </w:r>
      <w:r w:rsidR="002A36DC" w:rsidRPr="00F562EE">
        <w:rPr>
          <w:rFonts w:ascii="Book Antiqua" w:eastAsia="Calibri" w:hAnsi="Book Antiqua"/>
        </w:rPr>
        <w:t xml:space="preserve"> (anotācij</w:t>
      </w:r>
      <w:r w:rsidR="00033006">
        <w:rPr>
          <w:rFonts w:ascii="Book Antiqua" w:eastAsia="Calibri" w:hAnsi="Book Antiqua"/>
        </w:rPr>
        <w:t>as</w:t>
      </w:r>
      <w:r w:rsidR="002A36DC" w:rsidRPr="00F562EE">
        <w:rPr>
          <w:rFonts w:ascii="Book Antiqua" w:eastAsia="Calibri" w:hAnsi="Book Antiqua"/>
        </w:rPr>
        <w:t>)</w:t>
      </w:r>
      <w:r w:rsidR="00033006">
        <w:rPr>
          <w:rFonts w:ascii="Book Antiqua" w:eastAsia="Calibri" w:hAnsi="Book Antiqua"/>
        </w:rPr>
        <w:t>,</w:t>
      </w:r>
      <w:r w:rsidRPr="00F562EE">
        <w:rPr>
          <w:rFonts w:ascii="Book Antiqua" w:eastAsia="Calibri" w:hAnsi="Book Antiqua"/>
        </w:rPr>
        <w:t xml:space="preserve"> </w:t>
      </w:r>
      <w:r w:rsidR="002A36DC" w:rsidRPr="00F562EE">
        <w:rPr>
          <w:rFonts w:ascii="Book Antiqua" w:eastAsia="Calibri" w:hAnsi="Book Antiqua"/>
        </w:rPr>
        <w:t>izziņ</w:t>
      </w:r>
      <w:r w:rsidR="00033006">
        <w:rPr>
          <w:rFonts w:ascii="Book Antiqua" w:eastAsia="Calibri" w:hAnsi="Book Antiqua"/>
        </w:rPr>
        <w:t>as</w:t>
      </w:r>
      <w:r w:rsidR="002A36DC" w:rsidRPr="00F562EE">
        <w:rPr>
          <w:rFonts w:ascii="Book Antiqua" w:eastAsia="Calibri" w:hAnsi="Book Antiqua"/>
        </w:rPr>
        <w:t xml:space="preserve"> par atzinumos sniegtajiem iebildumiem</w:t>
      </w:r>
      <w:r w:rsidRPr="00F562EE">
        <w:rPr>
          <w:rFonts w:ascii="Book Antiqua" w:eastAsia="Calibri" w:hAnsi="Book Antiqua"/>
        </w:rPr>
        <w:t xml:space="preserve"> un Ministru kabineta sēdes protokollēmuma projekt</w:t>
      </w:r>
      <w:r w:rsidR="00033006">
        <w:rPr>
          <w:rFonts w:ascii="Book Antiqua" w:eastAsia="Calibri" w:hAnsi="Book Antiqua"/>
        </w:rPr>
        <w:t>a redakcijas</w:t>
      </w:r>
      <w:r w:rsidR="002A36DC" w:rsidRPr="00F562EE">
        <w:rPr>
          <w:rFonts w:ascii="Book Antiqua" w:eastAsia="Calibri" w:hAnsi="Book Antiqua"/>
        </w:rPr>
        <w:t>.</w:t>
      </w:r>
      <w:r w:rsidR="007B5677" w:rsidRPr="00F562EE">
        <w:rPr>
          <w:rFonts w:ascii="Book Antiqua" w:eastAsia="Calibri" w:hAnsi="Book Antiqua"/>
        </w:rPr>
        <w:t xml:space="preserve"> Vēstulē</w:t>
      </w:r>
      <w:r w:rsidR="00033006">
        <w:rPr>
          <w:rFonts w:ascii="Book Antiqua" w:eastAsia="Calibri" w:hAnsi="Book Antiqua"/>
        </w:rPr>
        <w:t xml:space="preserve"> tiek lūgts sniegt sas</w:t>
      </w:r>
      <w:r w:rsidR="007B5677" w:rsidRPr="00F562EE">
        <w:rPr>
          <w:rFonts w:ascii="Book Antiqua" w:eastAsia="Calibri" w:hAnsi="Book Antiqua"/>
        </w:rPr>
        <w:t xml:space="preserve">kaņojumu </w:t>
      </w:r>
      <w:r w:rsidR="00033006">
        <w:rPr>
          <w:rFonts w:ascii="Book Antiqua" w:eastAsia="Calibri" w:hAnsi="Book Antiqua"/>
        </w:rPr>
        <w:t xml:space="preserve">jaunākajām šo dokumentu redakcijām </w:t>
      </w:r>
      <w:r w:rsidR="007B5677" w:rsidRPr="00F562EE">
        <w:rPr>
          <w:rFonts w:ascii="Book Antiqua" w:eastAsia="Calibri" w:hAnsi="Book Antiqua"/>
        </w:rPr>
        <w:t xml:space="preserve">līdz š.g. </w:t>
      </w:r>
      <w:r w:rsidR="00033006">
        <w:rPr>
          <w:rFonts w:ascii="Book Antiqua" w:eastAsia="Calibri" w:hAnsi="Book Antiqua"/>
        </w:rPr>
        <w:t xml:space="preserve">29.septembra </w:t>
      </w:r>
      <w:r w:rsidR="007B5677" w:rsidRPr="00F562EE">
        <w:rPr>
          <w:rFonts w:ascii="Book Antiqua" w:eastAsia="Calibri" w:hAnsi="Book Antiqua"/>
        </w:rPr>
        <w:t>darba dienas beigām</w:t>
      </w:r>
      <w:r w:rsidR="00033006">
        <w:rPr>
          <w:rFonts w:ascii="Book Antiqua" w:eastAsia="Calibri" w:hAnsi="Book Antiqua"/>
        </w:rPr>
        <w:t xml:space="preserve">. </w:t>
      </w:r>
      <w:r w:rsidR="007B5677" w:rsidRPr="00F562EE">
        <w:rPr>
          <w:rFonts w:ascii="Book Antiqua" w:eastAsia="Calibri" w:hAnsi="Book Antiqua"/>
        </w:rPr>
        <w:t xml:space="preserve"> </w:t>
      </w:r>
    </w:p>
    <w:p w14:paraId="7007E553" w14:textId="694FDF1E" w:rsidR="00857207" w:rsidRDefault="00316D4C" w:rsidP="00064023">
      <w:pPr>
        <w:spacing w:after="120" w:line="259" w:lineRule="auto"/>
        <w:ind w:firstLine="567"/>
        <w:jc w:val="both"/>
        <w:rPr>
          <w:rFonts w:ascii="Book Antiqua" w:eastAsia="Calibri" w:hAnsi="Book Antiqua"/>
        </w:rPr>
      </w:pPr>
      <w:r w:rsidRPr="00F562EE">
        <w:rPr>
          <w:rFonts w:ascii="Book Antiqua" w:eastAsia="Calibri" w:hAnsi="Book Antiqua"/>
        </w:rPr>
        <w:t xml:space="preserve">Iepazīstoties ar minētajiem dokumentiem, </w:t>
      </w:r>
      <w:r w:rsidR="00857207">
        <w:rPr>
          <w:rFonts w:ascii="Book Antiqua" w:eastAsia="Calibri" w:hAnsi="Book Antiqua"/>
        </w:rPr>
        <w:t>novērt</w:t>
      </w:r>
      <w:r w:rsidR="002A36DC" w:rsidRPr="00F562EE">
        <w:rPr>
          <w:rFonts w:ascii="Book Antiqua" w:eastAsia="Calibri" w:hAnsi="Book Antiqua"/>
        </w:rPr>
        <w:t>ēj</w:t>
      </w:r>
      <w:r w:rsidR="00F7624C" w:rsidRPr="00F562EE">
        <w:rPr>
          <w:rFonts w:ascii="Book Antiqua" w:eastAsia="Calibri" w:hAnsi="Book Antiqua"/>
        </w:rPr>
        <w:t>u</w:t>
      </w:r>
      <w:r w:rsidR="002A36DC" w:rsidRPr="00F562EE">
        <w:rPr>
          <w:rFonts w:ascii="Book Antiqua" w:eastAsia="Calibri" w:hAnsi="Book Antiqua"/>
        </w:rPr>
        <w:t xml:space="preserve">, ka </w:t>
      </w:r>
      <w:r w:rsidR="00857207">
        <w:rPr>
          <w:rFonts w:ascii="Book Antiqua" w:eastAsia="Calibri" w:hAnsi="Book Antiqua"/>
        </w:rPr>
        <w:t>daļa no maniem iebildumiem ir tikuši ņemti vērā</w:t>
      </w:r>
      <w:r w:rsidR="00DA58F4">
        <w:rPr>
          <w:rFonts w:ascii="Book Antiqua" w:eastAsia="Calibri" w:hAnsi="Book Antiqua"/>
        </w:rPr>
        <w:t xml:space="preserve"> un Likumprojekts atbilstoši ticis grozīts</w:t>
      </w:r>
      <w:r w:rsidR="00857207">
        <w:rPr>
          <w:rFonts w:ascii="Book Antiqua" w:eastAsia="Calibri" w:hAnsi="Book Antiqua"/>
        </w:rPr>
        <w:t xml:space="preserve">. </w:t>
      </w:r>
      <w:r w:rsidR="00F64534">
        <w:rPr>
          <w:rFonts w:ascii="Book Antiqua" w:eastAsia="Calibri" w:hAnsi="Book Antiqua"/>
        </w:rPr>
        <w:t xml:space="preserve">Taču, tā kā joprojām atsevišķi mani iebildumi nav </w:t>
      </w:r>
      <w:r w:rsidR="005D395F">
        <w:rPr>
          <w:rFonts w:ascii="Book Antiqua" w:eastAsia="Calibri" w:hAnsi="Book Antiqua"/>
        </w:rPr>
        <w:t xml:space="preserve">iekļauti Likumprojektā </w:t>
      </w:r>
      <w:r w:rsidR="00F64534">
        <w:rPr>
          <w:rFonts w:ascii="Book Antiqua" w:eastAsia="Calibri" w:hAnsi="Book Antiqua"/>
        </w:rPr>
        <w:t xml:space="preserve">vai arī piedāvātā grozījumu redakcija, pret kuru esmu iebildis, ir izteikta vēl citā redakcijā, </w:t>
      </w:r>
      <w:r w:rsidR="005D395F">
        <w:rPr>
          <w:rFonts w:ascii="Book Antiqua" w:eastAsia="Calibri" w:hAnsi="Book Antiqua"/>
        </w:rPr>
        <w:t xml:space="preserve">kurai nevar piekrist, iesniedzu turpmākos norādītos iebildumus un priekšlikumus. </w:t>
      </w:r>
    </w:p>
    <w:p w14:paraId="356FC5B4" w14:textId="740CF3C8" w:rsidR="007761D6" w:rsidRDefault="007761D6" w:rsidP="00064023">
      <w:pPr>
        <w:spacing w:after="120" w:line="259" w:lineRule="auto"/>
        <w:ind w:firstLine="567"/>
        <w:jc w:val="both"/>
        <w:rPr>
          <w:rFonts w:ascii="Book Antiqua" w:eastAsia="Calibri" w:hAnsi="Book Antiqua"/>
        </w:rPr>
      </w:pPr>
    </w:p>
    <w:p w14:paraId="2FF141F5" w14:textId="5253509D" w:rsidR="002D58CA" w:rsidRPr="002D58CA" w:rsidRDefault="002D58CA" w:rsidP="00064023">
      <w:pPr>
        <w:spacing w:after="120" w:line="259" w:lineRule="auto"/>
        <w:ind w:firstLine="567"/>
        <w:jc w:val="both"/>
        <w:rPr>
          <w:rFonts w:ascii="Book Antiqua" w:eastAsia="Calibri" w:hAnsi="Book Antiqua"/>
          <w:b/>
          <w:bCs/>
          <w:i/>
          <w:iCs/>
        </w:rPr>
      </w:pPr>
      <w:r w:rsidRPr="002D58CA">
        <w:rPr>
          <w:rFonts w:ascii="Book Antiqua" w:eastAsia="Calibri" w:hAnsi="Book Antiqua"/>
          <w:b/>
          <w:bCs/>
          <w:i/>
          <w:iCs/>
        </w:rPr>
        <w:t xml:space="preserve">Par pagaidu noregulējumu </w:t>
      </w:r>
    </w:p>
    <w:p w14:paraId="7C923C81" w14:textId="3E0E9D5B" w:rsidR="005D395F" w:rsidRDefault="005D395F" w:rsidP="00064023">
      <w:pPr>
        <w:spacing w:after="120" w:line="259" w:lineRule="auto"/>
        <w:ind w:firstLine="567"/>
        <w:jc w:val="both"/>
        <w:rPr>
          <w:rFonts w:ascii="Book Antiqua" w:eastAsia="Calibri" w:hAnsi="Book Antiqua"/>
        </w:rPr>
      </w:pPr>
      <w:r>
        <w:rPr>
          <w:rFonts w:ascii="Book Antiqua" w:eastAsia="Calibri" w:hAnsi="Book Antiqua"/>
        </w:rPr>
        <w:t>Likumprojekta 21.panta otrajā daļā noteikts, ka Konkurences likuma (turpmāk – Likums) 30.panta otrā daļa papildināma ar</w:t>
      </w:r>
      <w:r w:rsidR="00B64127">
        <w:rPr>
          <w:rFonts w:ascii="Book Antiqua" w:eastAsia="Calibri" w:hAnsi="Book Antiqua"/>
        </w:rPr>
        <w:t xml:space="preserve"> otro</w:t>
      </w:r>
      <w:r>
        <w:rPr>
          <w:rFonts w:ascii="Book Antiqua" w:eastAsia="Calibri" w:hAnsi="Book Antiqua"/>
        </w:rPr>
        <w:t xml:space="preserve"> teikumu šādā redakcijā: </w:t>
      </w:r>
    </w:p>
    <w:p w14:paraId="50C5DCEB" w14:textId="45885B33" w:rsidR="005D395F" w:rsidRDefault="005D395F" w:rsidP="00064023">
      <w:pPr>
        <w:spacing w:after="120" w:line="259" w:lineRule="auto"/>
        <w:ind w:firstLine="567"/>
        <w:jc w:val="both"/>
        <w:rPr>
          <w:rFonts w:ascii="Book Antiqua" w:eastAsia="Calibri" w:hAnsi="Book Antiqua"/>
        </w:rPr>
      </w:pPr>
      <w:r>
        <w:rPr>
          <w:rFonts w:ascii="Book Antiqua" w:eastAsia="Calibri" w:hAnsi="Book Antiqua"/>
        </w:rPr>
        <w:t>“</w:t>
      </w:r>
      <w:r w:rsidRPr="005D395F">
        <w:rPr>
          <w:rFonts w:ascii="Book Antiqua" w:eastAsia="Calibri" w:hAnsi="Book Antiqua"/>
          <w:i/>
          <w:iCs/>
        </w:rPr>
        <w:t>Lūgums par pagaidu aizsardzību par lēmumu par pagaidu noregulējumu nav pieļaujams.</w:t>
      </w:r>
      <w:r>
        <w:rPr>
          <w:rFonts w:ascii="Book Antiqua" w:eastAsia="Calibri" w:hAnsi="Book Antiqua"/>
        </w:rPr>
        <w:t>”</w:t>
      </w:r>
    </w:p>
    <w:p w14:paraId="1AC2D476" w14:textId="77777777" w:rsidR="00C27EE7" w:rsidRDefault="005D395F" w:rsidP="00064023">
      <w:pPr>
        <w:spacing w:after="120" w:line="259" w:lineRule="auto"/>
        <w:ind w:firstLine="567"/>
        <w:jc w:val="both"/>
        <w:rPr>
          <w:rFonts w:ascii="Book Antiqua" w:eastAsia="Calibri" w:hAnsi="Book Antiqua"/>
        </w:rPr>
      </w:pPr>
      <w:r>
        <w:rPr>
          <w:rFonts w:ascii="Book Antiqua" w:eastAsia="Calibri" w:hAnsi="Book Antiqua"/>
        </w:rPr>
        <w:t xml:space="preserve">Iebildumu pret šo </w:t>
      </w:r>
      <w:r w:rsidR="00B64127">
        <w:rPr>
          <w:rFonts w:ascii="Book Antiqua" w:eastAsia="Calibri" w:hAnsi="Book Antiqua"/>
        </w:rPr>
        <w:t xml:space="preserve">papildinājumu esmu jau izteicis iepriekš un izsaku joprojām. </w:t>
      </w:r>
    </w:p>
    <w:p w14:paraId="0402AEB8" w14:textId="16F57809" w:rsidR="00A449B7" w:rsidRDefault="00A449B7" w:rsidP="00064023">
      <w:pPr>
        <w:spacing w:after="120" w:line="259" w:lineRule="auto"/>
        <w:ind w:firstLine="567"/>
        <w:jc w:val="both"/>
        <w:rPr>
          <w:rFonts w:ascii="Book Antiqua" w:eastAsia="Calibri" w:hAnsi="Book Antiqua"/>
        </w:rPr>
      </w:pPr>
      <w:r w:rsidRPr="00252587">
        <w:rPr>
          <w:rFonts w:ascii="Book Antiqua" w:eastAsia="Calibri" w:hAnsi="Book Antiqua"/>
          <w:i/>
          <w:iCs/>
        </w:rPr>
        <w:t xml:space="preserve">Pagaidu aizsardzība ir instruments, kas ļauj nodrošināt, ka tajos gadījumos, kad persona ar pieteikumu tiesā vērsusies </w:t>
      </w:r>
      <w:proofErr w:type="spellStart"/>
      <w:r w:rsidRPr="00252587">
        <w:rPr>
          <w:rFonts w:ascii="Book Antiqua" w:eastAsia="Calibri" w:hAnsi="Book Antiqua"/>
          <w:i/>
          <w:iCs/>
        </w:rPr>
        <w:t>pirmšķietami</w:t>
      </w:r>
      <w:proofErr w:type="spellEnd"/>
      <w:r w:rsidRPr="00252587">
        <w:rPr>
          <w:rFonts w:ascii="Book Antiqua" w:eastAsia="Calibri" w:hAnsi="Book Antiqua"/>
          <w:i/>
          <w:iCs/>
        </w:rPr>
        <w:t xml:space="preserve"> pamatoti un </w:t>
      </w:r>
      <w:r w:rsidRPr="00AC60A9">
        <w:rPr>
          <w:rFonts w:ascii="Book Antiqua" w:eastAsia="Calibri" w:hAnsi="Book Antiqua"/>
          <w:i/>
          <w:iCs/>
          <w:u w:val="single"/>
        </w:rPr>
        <w:t>lietas apstākļi prasa steidzamu risinājumu,</w:t>
      </w:r>
      <w:r w:rsidRPr="00252587">
        <w:rPr>
          <w:rFonts w:ascii="Book Antiqua" w:eastAsia="Calibri" w:hAnsi="Book Antiqua"/>
          <w:i/>
          <w:iCs/>
        </w:rPr>
        <w:t xml:space="preserve"> </w:t>
      </w:r>
      <w:r w:rsidRPr="00AC60A9">
        <w:rPr>
          <w:rFonts w:ascii="Book Antiqua" w:eastAsia="Calibri" w:hAnsi="Book Antiqua"/>
          <w:i/>
          <w:iCs/>
          <w:u w:val="single"/>
        </w:rPr>
        <w:t>lietas izskatīšanas ilgums nekavē taisnīguma atjaunošanu</w:t>
      </w:r>
      <w:r w:rsidRPr="00252587">
        <w:rPr>
          <w:rFonts w:ascii="Book Antiqua" w:eastAsia="Calibri" w:hAnsi="Book Antiqua"/>
          <w:i/>
          <w:iCs/>
        </w:rPr>
        <w:t xml:space="preserve">. Šajā ziņā aktīva loma ir tiesai, jo </w:t>
      </w:r>
      <w:r w:rsidRPr="00AC60A9">
        <w:rPr>
          <w:rFonts w:ascii="Book Antiqua" w:eastAsia="Calibri" w:hAnsi="Book Antiqua"/>
          <w:i/>
          <w:iCs/>
          <w:u w:val="single"/>
        </w:rPr>
        <w:t>tiesai ir pienākums veikt visas nepieciešamās un objektīvi iespējamās darbības, kas veicina tiesību uz taisnīgu tiesu pēc iespējas pilnīgāku nodrošināšanu</w:t>
      </w:r>
      <w:r w:rsidRPr="00252587">
        <w:rPr>
          <w:rFonts w:ascii="Book Antiqua" w:eastAsia="Calibri" w:hAnsi="Book Antiqua"/>
          <w:i/>
          <w:iCs/>
        </w:rPr>
        <w:t>.</w:t>
      </w:r>
      <w:r w:rsidR="00252587" w:rsidRPr="00252587">
        <w:rPr>
          <w:rFonts w:ascii="Book Antiqua" w:eastAsia="Calibri" w:hAnsi="Book Antiqua"/>
          <w:i/>
          <w:iCs/>
        </w:rPr>
        <w:t xml:space="preserve"> Tiesas pasīva attieksme pret pagaidu aizsardzības lūguma izskatīšanas steidzamību var veicināt to personas tiesību vai tiesisko interešu aizskārumu, kuru aizsardzībai attiecīgais lūgums izteikts. Šāda situācija ne tikai rada nelabvēlīgas sekas aizskartajam procesa dalībniekam, bet arī grauj tiesas autoritāti un sabiedrības uzticību tiesai kā institūcijai, kurai jānodrošina personas tiesību un tiesisko interešu aizsardzība</w:t>
      </w:r>
      <w:r w:rsidR="00252587" w:rsidRPr="00252587">
        <w:rPr>
          <w:rFonts w:ascii="Book Antiqua" w:eastAsia="Calibri" w:hAnsi="Book Antiqua"/>
        </w:rPr>
        <w:t>.</w:t>
      </w:r>
      <w:r w:rsidR="00C27EE7">
        <w:rPr>
          <w:rStyle w:val="FootnoteReference"/>
          <w:rFonts w:ascii="Book Antiqua" w:eastAsia="Calibri" w:hAnsi="Book Antiqua"/>
        </w:rPr>
        <w:footnoteReference w:id="1"/>
      </w:r>
    </w:p>
    <w:p w14:paraId="496505A2" w14:textId="7998D664" w:rsidR="00C27EE7" w:rsidRDefault="00C27EE7" w:rsidP="00064023">
      <w:pPr>
        <w:spacing w:after="120" w:line="259" w:lineRule="auto"/>
        <w:ind w:firstLine="567"/>
        <w:jc w:val="both"/>
        <w:rPr>
          <w:rFonts w:ascii="Book Antiqua" w:eastAsia="Calibri" w:hAnsi="Book Antiqua"/>
        </w:rPr>
      </w:pPr>
      <w:r>
        <w:rPr>
          <w:rFonts w:ascii="Book Antiqua" w:eastAsia="Calibri" w:hAnsi="Book Antiqua"/>
        </w:rPr>
        <w:lastRenderedPageBreak/>
        <w:t>Plānotie grozījumi Likumā liegtu šādu tiesas kontroli pagaidu aizsardzības ietvaros steidzamības kārtībā pār</w:t>
      </w:r>
      <w:r w:rsidR="000528AD">
        <w:rPr>
          <w:rFonts w:ascii="Book Antiqua" w:eastAsia="Calibri" w:hAnsi="Book Antiqua"/>
        </w:rPr>
        <w:t xml:space="preserve"> Konkurences padomes (turpmāk –</w:t>
      </w:r>
      <w:r>
        <w:rPr>
          <w:rFonts w:ascii="Book Antiqua" w:eastAsia="Calibri" w:hAnsi="Book Antiqua"/>
        </w:rPr>
        <w:t xml:space="preserve"> Padome</w:t>
      </w:r>
      <w:r w:rsidR="000528AD">
        <w:rPr>
          <w:rFonts w:ascii="Book Antiqua" w:eastAsia="Calibri" w:hAnsi="Book Antiqua"/>
        </w:rPr>
        <w:t>)</w:t>
      </w:r>
      <w:r>
        <w:rPr>
          <w:rFonts w:ascii="Book Antiqua" w:eastAsia="Calibri" w:hAnsi="Book Antiqua"/>
        </w:rPr>
        <w:t xml:space="preserve"> lēmumu, ar kuru tā piemērojusi pagaidu noregulējumu</w:t>
      </w:r>
      <w:r w:rsidR="00AC60A9">
        <w:rPr>
          <w:rFonts w:ascii="Book Antiqua" w:eastAsia="Calibri" w:hAnsi="Book Antiqua"/>
        </w:rPr>
        <w:t xml:space="preserve"> un tādējādi kavētu taisnīguma atjaunošanu</w:t>
      </w:r>
      <w:r>
        <w:rPr>
          <w:rFonts w:ascii="Book Antiqua" w:eastAsia="Calibri" w:hAnsi="Book Antiqua"/>
        </w:rPr>
        <w:t>. Lai gan tiesai piet</w:t>
      </w:r>
      <w:r w:rsidRPr="00C27EE7">
        <w:rPr>
          <w:rFonts w:ascii="Book Antiqua" w:eastAsia="Calibri" w:hAnsi="Book Antiqua"/>
        </w:rPr>
        <w:t>eikum</w:t>
      </w:r>
      <w:r>
        <w:rPr>
          <w:rFonts w:ascii="Book Antiqua" w:eastAsia="Calibri" w:hAnsi="Book Antiqua"/>
        </w:rPr>
        <w:t xml:space="preserve">s </w:t>
      </w:r>
      <w:r w:rsidRPr="00C27EE7">
        <w:rPr>
          <w:rFonts w:ascii="Book Antiqua" w:eastAsia="Calibri" w:hAnsi="Book Antiqua"/>
        </w:rPr>
        <w:t xml:space="preserve">par lēmumu par pagaidu noregulējumu </w:t>
      </w:r>
      <w:r>
        <w:rPr>
          <w:rFonts w:ascii="Book Antiqua" w:eastAsia="Calibri" w:hAnsi="Book Antiqua"/>
        </w:rPr>
        <w:t xml:space="preserve">ir jāizskata no vispārējās kārtības īsākā termiņā - </w:t>
      </w:r>
      <w:r w:rsidRPr="00C27EE7">
        <w:rPr>
          <w:rFonts w:ascii="Book Antiqua" w:eastAsia="Calibri" w:hAnsi="Book Antiqua"/>
        </w:rPr>
        <w:t>14 dienu laikā</w:t>
      </w:r>
      <w:r>
        <w:rPr>
          <w:rFonts w:ascii="Book Antiqua" w:eastAsia="Calibri" w:hAnsi="Book Antiqua"/>
        </w:rPr>
        <w:t>, tomēr arī šis termiņš var būt nesamērīgi garš, lai izvērtētu Padomes lēmuma par pagaidu noregulējumu tiesiskumu</w:t>
      </w:r>
      <w:r w:rsidR="009E46CE">
        <w:rPr>
          <w:rFonts w:ascii="Book Antiqua" w:eastAsia="Calibri" w:hAnsi="Book Antiqua"/>
        </w:rPr>
        <w:t>, tādējādi nenodrošinot taisnīgumu</w:t>
      </w:r>
      <w:r>
        <w:rPr>
          <w:rFonts w:ascii="Book Antiqua" w:eastAsia="Calibri" w:hAnsi="Book Antiqua"/>
        </w:rPr>
        <w:t xml:space="preserve">. </w:t>
      </w:r>
    </w:p>
    <w:p w14:paraId="1532878F" w14:textId="64830796" w:rsidR="009E46CE" w:rsidRDefault="00A449B7" w:rsidP="00064023">
      <w:pPr>
        <w:spacing w:after="120" w:line="259" w:lineRule="auto"/>
        <w:ind w:firstLine="567"/>
        <w:jc w:val="both"/>
        <w:rPr>
          <w:rFonts w:ascii="Book Antiqua" w:eastAsia="Calibri" w:hAnsi="Book Antiqua"/>
        </w:rPr>
      </w:pPr>
      <w:r>
        <w:rPr>
          <w:rFonts w:ascii="Book Antiqua" w:eastAsia="Calibri" w:hAnsi="Book Antiqua"/>
        </w:rPr>
        <w:t xml:space="preserve">Pagaidu aizsardzības piemērošanas nepieciešamību lietā, kurā </w:t>
      </w:r>
      <w:r w:rsidR="007E2139">
        <w:rPr>
          <w:rFonts w:ascii="Book Antiqua" w:eastAsia="Calibri" w:hAnsi="Book Antiqua"/>
        </w:rPr>
        <w:t>P</w:t>
      </w:r>
      <w:r>
        <w:rPr>
          <w:rFonts w:ascii="Book Antiqua" w:eastAsia="Calibri" w:hAnsi="Book Antiqua"/>
        </w:rPr>
        <w:t>adome Likuma 30.pantā noteiktajā kārtībā ir pieņēmusi lēmumu par pagaidu noregulējuma piemērošanu, vistiešāk un visprecīzāk</w:t>
      </w:r>
      <w:r w:rsidR="009E46CE">
        <w:rPr>
          <w:rFonts w:ascii="Book Antiqua" w:eastAsia="Calibri" w:hAnsi="Book Antiqua"/>
        </w:rPr>
        <w:t xml:space="preserve"> ir</w:t>
      </w:r>
      <w:r>
        <w:rPr>
          <w:rFonts w:ascii="Book Antiqua" w:eastAsia="Calibri" w:hAnsi="Book Antiqua"/>
        </w:rPr>
        <w:t xml:space="preserve"> pierād</w:t>
      </w:r>
      <w:r w:rsidR="009E46CE">
        <w:rPr>
          <w:rFonts w:ascii="Book Antiqua" w:eastAsia="Calibri" w:hAnsi="Book Antiqua"/>
        </w:rPr>
        <w:t>ījusi vienīgā lieta Padomes praksē, kurā tā piemēroja pagaidu noregulējumu</w:t>
      </w:r>
      <w:r>
        <w:rPr>
          <w:rFonts w:ascii="Book Antiqua" w:eastAsia="Calibri" w:hAnsi="Book Antiqua"/>
        </w:rPr>
        <w:t>.</w:t>
      </w:r>
      <w:r w:rsidR="00C27EE7">
        <w:rPr>
          <w:rStyle w:val="FootnoteReference"/>
          <w:rFonts w:ascii="Book Antiqua" w:eastAsia="Calibri" w:hAnsi="Book Antiqua"/>
        </w:rPr>
        <w:footnoteReference w:id="2"/>
      </w:r>
      <w:r w:rsidR="007E2139">
        <w:rPr>
          <w:rFonts w:ascii="Book Antiqua" w:eastAsia="Calibri" w:hAnsi="Book Antiqua"/>
        </w:rPr>
        <w:t xml:space="preserve"> </w:t>
      </w:r>
      <w:r w:rsidR="009E46CE">
        <w:rPr>
          <w:rFonts w:ascii="Book Antiqua" w:eastAsia="Calibri" w:hAnsi="Book Antiqua"/>
        </w:rPr>
        <w:t xml:space="preserve">Tieši Padomes piemērotā pagaidu noregulējuma rezultātā iestājās tāds tiesiskais un faktiskais stāvoklis, pār kura tiesiskumu kontroli bija nepieciešams veikt nekavējoties, tuvāko dažu dienu laikā, negaidot Likuma 31.panta pirmajā daļā noteikto 14 dienu termiņu. </w:t>
      </w:r>
    </w:p>
    <w:p w14:paraId="11ECA142" w14:textId="77777777" w:rsidR="002D58CA" w:rsidRDefault="009E46CE" w:rsidP="00064023">
      <w:pPr>
        <w:spacing w:after="120" w:line="259" w:lineRule="auto"/>
        <w:ind w:firstLine="567"/>
        <w:jc w:val="both"/>
        <w:rPr>
          <w:rFonts w:ascii="Book Antiqua" w:eastAsia="Calibri" w:hAnsi="Book Antiqua"/>
        </w:rPr>
      </w:pPr>
      <w:r>
        <w:rPr>
          <w:rFonts w:ascii="Book Antiqua" w:eastAsia="Calibri" w:hAnsi="Book Antiqua"/>
        </w:rPr>
        <w:t>Ņemot vērā jau iepriekšējo pieredzi Padomes praksē saistībā ar pagaidu noregulējuma piemērošanu, nav pieļaujams Konkurences likuma 31.pantā noteikt izņēmumu no vispārējās Administratīvā procesa likum</w:t>
      </w:r>
      <w:r w:rsidR="00E219E8">
        <w:rPr>
          <w:rFonts w:ascii="Book Antiqua" w:eastAsia="Calibri" w:hAnsi="Book Antiqua"/>
        </w:rPr>
        <w:t>a 185. un 195.pant</w:t>
      </w:r>
      <w:r>
        <w:rPr>
          <w:rFonts w:ascii="Book Antiqua" w:eastAsia="Calibri" w:hAnsi="Book Antiqua"/>
        </w:rPr>
        <w:t xml:space="preserve">ā noteiktās </w:t>
      </w:r>
      <w:r w:rsidR="00E219E8">
        <w:rPr>
          <w:rFonts w:ascii="Book Antiqua" w:eastAsia="Calibri" w:hAnsi="Book Antiqua"/>
        </w:rPr>
        <w:t>kārtī</w:t>
      </w:r>
      <w:r>
        <w:rPr>
          <w:rFonts w:ascii="Book Antiqua" w:eastAsia="Calibri" w:hAnsi="Book Antiqua"/>
        </w:rPr>
        <w:t>bas, liedzot prasīt piemērot pagaidu aizsardzības līdzekli par Padomes lēmumu</w:t>
      </w:r>
      <w:r w:rsidR="007B429E">
        <w:rPr>
          <w:rFonts w:ascii="Book Antiqua" w:eastAsia="Calibri" w:hAnsi="Book Antiqua"/>
        </w:rPr>
        <w:t xml:space="preserve">, ar kuru tā </w:t>
      </w:r>
      <w:r>
        <w:rPr>
          <w:rFonts w:ascii="Book Antiqua" w:eastAsia="Calibri" w:hAnsi="Book Antiqua"/>
        </w:rPr>
        <w:t>piemēro</w:t>
      </w:r>
      <w:r w:rsidR="007B429E">
        <w:rPr>
          <w:rFonts w:ascii="Book Antiqua" w:eastAsia="Calibri" w:hAnsi="Book Antiqua"/>
        </w:rPr>
        <w:t>jusi</w:t>
      </w:r>
      <w:r>
        <w:rPr>
          <w:rFonts w:ascii="Book Antiqua" w:eastAsia="Calibri" w:hAnsi="Book Antiqua"/>
        </w:rPr>
        <w:t xml:space="preserve"> pagaidu noregulējumu. </w:t>
      </w:r>
      <w:r w:rsidR="007B429E">
        <w:rPr>
          <w:rFonts w:ascii="Book Antiqua" w:eastAsia="Calibri" w:hAnsi="Book Antiqua"/>
        </w:rPr>
        <w:t xml:space="preserve">Šāds noteikums Likumā būtu pretrunā tiesībām uz taisnīgu tiesu. </w:t>
      </w:r>
      <w:r w:rsidR="007B429E" w:rsidRPr="007B429E">
        <w:rPr>
          <w:rFonts w:ascii="Book Antiqua" w:eastAsia="Calibri" w:hAnsi="Book Antiqua"/>
        </w:rPr>
        <w:t>Turklāt šāda būtiska ierobežojuma noteikšana neizriet no Direktīvas</w:t>
      </w:r>
      <w:r w:rsidR="007B429E">
        <w:rPr>
          <w:rStyle w:val="FootnoteReference"/>
          <w:rFonts w:ascii="Book Antiqua" w:eastAsia="Calibri" w:hAnsi="Book Antiqua"/>
        </w:rPr>
        <w:footnoteReference w:id="3"/>
      </w:r>
      <w:r w:rsidR="007B429E" w:rsidRPr="007B429E">
        <w:rPr>
          <w:rFonts w:ascii="Book Antiqua" w:eastAsia="Calibri" w:hAnsi="Book Antiqua"/>
        </w:rPr>
        <w:t xml:space="preserve"> prasībām.</w:t>
      </w:r>
    </w:p>
    <w:p w14:paraId="23476571" w14:textId="25B61205" w:rsidR="007B429E" w:rsidRPr="007B429E" w:rsidRDefault="007B429E" w:rsidP="00064023">
      <w:pPr>
        <w:spacing w:after="120" w:line="259" w:lineRule="auto"/>
        <w:ind w:firstLine="567"/>
        <w:jc w:val="both"/>
        <w:rPr>
          <w:rFonts w:ascii="Book Antiqua" w:eastAsia="Calibri" w:hAnsi="Book Antiqua"/>
        </w:rPr>
      </w:pPr>
      <w:r w:rsidRPr="007B429E">
        <w:rPr>
          <w:rFonts w:ascii="Book Antiqua" w:eastAsia="Calibri" w:hAnsi="Book Antiqua"/>
        </w:rPr>
        <w:t xml:space="preserve"> Līdz ar to </w:t>
      </w:r>
      <w:r w:rsidR="006F6ED6" w:rsidRPr="00EE12FC">
        <w:rPr>
          <w:rFonts w:ascii="Book Antiqua" w:eastAsia="Calibri" w:hAnsi="Book Antiqua"/>
          <w:b/>
          <w:bCs/>
        </w:rPr>
        <w:t xml:space="preserve">aicinu </w:t>
      </w:r>
      <w:r w:rsidRPr="007B429E">
        <w:rPr>
          <w:rFonts w:ascii="Book Antiqua" w:eastAsia="Calibri" w:hAnsi="Book Antiqua"/>
          <w:b/>
          <w:bCs/>
        </w:rPr>
        <w:t>no Likumprojekta izslēgt 2</w:t>
      </w:r>
      <w:r w:rsidR="002D58CA" w:rsidRPr="00EE12FC">
        <w:rPr>
          <w:rFonts w:ascii="Book Antiqua" w:eastAsia="Calibri" w:hAnsi="Book Antiqua"/>
          <w:b/>
          <w:bCs/>
        </w:rPr>
        <w:t>1</w:t>
      </w:r>
      <w:r w:rsidRPr="007B429E">
        <w:rPr>
          <w:rFonts w:ascii="Book Antiqua" w:eastAsia="Calibri" w:hAnsi="Book Antiqua"/>
          <w:b/>
          <w:bCs/>
        </w:rPr>
        <w:t>. panta otro daļu (Konkurences likuma 31. panta otrās daļas otrais teikums).</w:t>
      </w:r>
    </w:p>
    <w:p w14:paraId="050B551B" w14:textId="00BF7308" w:rsidR="007B429E" w:rsidRDefault="007B429E" w:rsidP="00064023">
      <w:pPr>
        <w:spacing w:after="120" w:line="259" w:lineRule="auto"/>
        <w:ind w:firstLine="567"/>
        <w:jc w:val="both"/>
        <w:rPr>
          <w:rFonts w:ascii="Book Antiqua" w:eastAsia="Calibri" w:hAnsi="Book Antiqua"/>
        </w:rPr>
      </w:pPr>
    </w:p>
    <w:p w14:paraId="4BACA1B1" w14:textId="54DE1F4F" w:rsidR="00FD7A52" w:rsidRDefault="00FD7A52" w:rsidP="00064023">
      <w:pPr>
        <w:spacing w:after="120" w:line="259" w:lineRule="auto"/>
        <w:ind w:firstLine="567"/>
        <w:jc w:val="both"/>
        <w:rPr>
          <w:rFonts w:ascii="Book Antiqua" w:eastAsia="Calibri" w:hAnsi="Book Antiqua"/>
        </w:rPr>
      </w:pPr>
      <w:r>
        <w:rPr>
          <w:rFonts w:ascii="Book Antiqua" w:eastAsia="Calibri" w:hAnsi="Book Antiqua"/>
        </w:rPr>
        <w:t>Likumprojekts</w:t>
      </w:r>
      <w:r w:rsidR="000D05E6">
        <w:rPr>
          <w:rFonts w:ascii="Book Antiqua" w:eastAsia="Calibri" w:hAnsi="Book Antiqua"/>
        </w:rPr>
        <w:t xml:space="preserve"> joprojām </w:t>
      </w:r>
      <w:r>
        <w:rPr>
          <w:rFonts w:ascii="Book Antiqua" w:eastAsia="Calibri" w:hAnsi="Book Antiqua"/>
        </w:rPr>
        <w:t>neparedz grozījumus Likuma 30.</w:t>
      </w:r>
      <w:r w:rsidR="006F6ED6">
        <w:rPr>
          <w:rFonts w:ascii="Book Antiqua" w:eastAsia="Calibri" w:hAnsi="Book Antiqua"/>
        </w:rPr>
        <w:t> </w:t>
      </w:r>
      <w:r>
        <w:rPr>
          <w:rFonts w:ascii="Book Antiqua" w:eastAsia="Calibri" w:hAnsi="Book Antiqua"/>
        </w:rPr>
        <w:t xml:space="preserve">pantā </w:t>
      </w:r>
      <w:r w:rsidR="000D05E6">
        <w:rPr>
          <w:rFonts w:ascii="Book Antiqua" w:eastAsia="Calibri" w:hAnsi="Book Antiqua"/>
        </w:rPr>
        <w:t xml:space="preserve">attiecībā uz pagaidu noregulējuma piemērošanu pēc būtības, uz kuru iekļaušanu Likumprojektā esmu aicinājis vairākkārt. </w:t>
      </w:r>
    </w:p>
    <w:p w14:paraId="7E04A899" w14:textId="4F491DFA" w:rsidR="00CF782E" w:rsidRDefault="00A449B7" w:rsidP="00064023">
      <w:pPr>
        <w:spacing w:after="120" w:line="259" w:lineRule="auto"/>
        <w:ind w:firstLine="567"/>
        <w:jc w:val="both"/>
        <w:rPr>
          <w:rFonts w:ascii="Book Antiqua" w:eastAsia="Calibri" w:hAnsi="Book Antiqua"/>
        </w:rPr>
      </w:pPr>
      <w:r w:rsidRPr="00A449B7">
        <w:rPr>
          <w:rFonts w:ascii="Book Antiqua" w:eastAsia="Calibri" w:hAnsi="Book Antiqua"/>
        </w:rPr>
        <w:t xml:space="preserve">Direktīvā noteiktais pierādīšanas standarts pagaidu noregulējuma piemērošanai ir augstāks, nekā tas šobrīd noteikts </w:t>
      </w:r>
      <w:r w:rsidR="004862A8">
        <w:rPr>
          <w:rFonts w:ascii="Book Antiqua" w:eastAsia="Calibri" w:hAnsi="Book Antiqua"/>
        </w:rPr>
        <w:t>L</w:t>
      </w:r>
      <w:r w:rsidRPr="00A449B7">
        <w:rPr>
          <w:rFonts w:ascii="Book Antiqua" w:eastAsia="Calibri" w:hAnsi="Book Antiqua"/>
        </w:rPr>
        <w:t xml:space="preserve">ikuma 30. pantā. </w:t>
      </w:r>
      <w:r w:rsidR="006F6ED6">
        <w:rPr>
          <w:rFonts w:ascii="Book Antiqua" w:eastAsia="Calibri" w:hAnsi="Book Antiqua"/>
        </w:rPr>
        <w:t xml:space="preserve">Tāpēc Likums būtu papildināms un grozāms atbilstoši Direktīvā noteiktajam pagaidu noregulējuma pierādīšanas standartam. </w:t>
      </w:r>
    </w:p>
    <w:p w14:paraId="00298DA9" w14:textId="4E6C76BD" w:rsidR="00CF245F" w:rsidRDefault="008307DA" w:rsidP="00064023">
      <w:pPr>
        <w:spacing w:after="120" w:line="259" w:lineRule="auto"/>
        <w:ind w:firstLine="567"/>
        <w:jc w:val="both"/>
        <w:rPr>
          <w:rFonts w:ascii="Book Antiqua" w:eastAsia="Calibri" w:hAnsi="Book Antiqua"/>
        </w:rPr>
      </w:pPr>
      <w:r>
        <w:rPr>
          <w:rFonts w:ascii="Book Antiqua" w:eastAsia="Calibri" w:hAnsi="Book Antiqua"/>
        </w:rPr>
        <w:t>Pagaidu noregulējuma piemērošana administratīvajā procesā regulēta A</w:t>
      </w:r>
      <w:r w:rsidR="00A449B7" w:rsidRPr="00A449B7">
        <w:rPr>
          <w:rFonts w:ascii="Book Antiqua" w:eastAsia="Calibri" w:hAnsi="Book Antiqua"/>
        </w:rPr>
        <w:t>dministratīvā procesa likumā</w:t>
      </w:r>
      <w:r>
        <w:rPr>
          <w:rFonts w:ascii="Book Antiqua" w:eastAsia="Calibri" w:hAnsi="Book Antiqua"/>
        </w:rPr>
        <w:t xml:space="preserve">. Tās </w:t>
      </w:r>
      <w:r w:rsidR="00A449B7" w:rsidRPr="00A449B7">
        <w:rPr>
          <w:rFonts w:ascii="Book Antiqua" w:eastAsia="Calibri" w:hAnsi="Book Antiqua"/>
        </w:rPr>
        <w:t>mērķi</w:t>
      </w:r>
      <w:r>
        <w:rPr>
          <w:rFonts w:ascii="Book Antiqua" w:eastAsia="Calibri" w:hAnsi="Book Antiqua"/>
        </w:rPr>
        <w:t>s</w:t>
      </w:r>
      <w:r w:rsidR="00A449B7" w:rsidRPr="00A449B7">
        <w:rPr>
          <w:rFonts w:ascii="Book Antiqua" w:eastAsia="Calibri" w:hAnsi="Book Antiqua"/>
        </w:rPr>
        <w:t xml:space="preserve"> </w:t>
      </w:r>
      <w:r>
        <w:rPr>
          <w:rFonts w:ascii="Book Antiqua" w:eastAsia="Calibri" w:hAnsi="Book Antiqua"/>
        </w:rPr>
        <w:t xml:space="preserve">ir </w:t>
      </w:r>
      <w:r w:rsidR="00A449B7" w:rsidRPr="00A449B7">
        <w:rPr>
          <w:rFonts w:ascii="Book Antiqua" w:eastAsia="Calibri" w:hAnsi="Book Antiqua"/>
        </w:rPr>
        <w:t xml:space="preserve">novērst tiesas galīgā nolēmuma kļūšanu par iluzoru tā praktiskās iedarbības trūkuma dēļ. Atbilstoši vienīgajai spēkā esošajai praksei par pagaidu noregulējuma piemērošanu konkurences lietās Administratīvā procesa </w:t>
      </w:r>
      <w:r w:rsidR="00CF782E">
        <w:rPr>
          <w:rFonts w:ascii="Book Antiqua" w:eastAsia="Calibri" w:hAnsi="Book Antiqua"/>
        </w:rPr>
        <w:t xml:space="preserve">likuma </w:t>
      </w:r>
      <w:r w:rsidR="00A449B7" w:rsidRPr="00A449B7">
        <w:rPr>
          <w:rFonts w:ascii="Book Antiqua" w:eastAsia="Calibri" w:hAnsi="Book Antiqua"/>
        </w:rPr>
        <w:t xml:space="preserve">195. pantā noteiktais pierādīšanas standarts ir atšķirīgs no </w:t>
      </w:r>
      <w:r w:rsidR="004862A8">
        <w:rPr>
          <w:rFonts w:ascii="Book Antiqua" w:eastAsia="Calibri" w:hAnsi="Book Antiqua"/>
        </w:rPr>
        <w:t>L</w:t>
      </w:r>
      <w:r w:rsidR="00A449B7" w:rsidRPr="00A449B7">
        <w:rPr>
          <w:rFonts w:ascii="Book Antiqua" w:eastAsia="Calibri" w:hAnsi="Book Antiqua"/>
        </w:rPr>
        <w:t xml:space="preserve">ikuma 30. pantā noteiktā </w:t>
      </w:r>
      <w:r w:rsidR="00CF782E">
        <w:rPr>
          <w:rFonts w:ascii="Book Antiqua" w:eastAsia="Calibri" w:hAnsi="Book Antiqua"/>
        </w:rPr>
        <w:t xml:space="preserve">pagaidu noregulējuma piemērošanas </w:t>
      </w:r>
      <w:r w:rsidR="00A449B7" w:rsidRPr="00A449B7">
        <w:rPr>
          <w:rFonts w:ascii="Book Antiqua" w:eastAsia="Calibri" w:hAnsi="Book Antiqua"/>
        </w:rPr>
        <w:t>standarta</w:t>
      </w:r>
      <w:r w:rsidR="00CF782E">
        <w:rPr>
          <w:rFonts w:ascii="Book Antiqua" w:eastAsia="Calibri" w:hAnsi="Book Antiqua"/>
        </w:rPr>
        <w:t>.</w:t>
      </w:r>
      <w:r w:rsidR="00A449B7" w:rsidRPr="00A449B7">
        <w:rPr>
          <w:rFonts w:ascii="Book Antiqua" w:eastAsia="Calibri" w:hAnsi="Book Antiqua"/>
          <w:vertAlign w:val="superscript"/>
        </w:rPr>
        <w:footnoteReference w:id="4"/>
      </w:r>
      <w:r w:rsidR="00A449B7" w:rsidRPr="00A449B7">
        <w:rPr>
          <w:rFonts w:ascii="Book Antiqua" w:eastAsia="Calibri" w:hAnsi="Book Antiqua"/>
        </w:rPr>
        <w:t xml:space="preserve"> Administratīvā procesa likuma 195. pantā noteikts, ka tiesa var pieņemt lēmumu par pagaidu noregulējumu, ja [..] pārsūdzētais administratīvais akts ir </w:t>
      </w:r>
      <w:proofErr w:type="spellStart"/>
      <w:r w:rsidR="00A449B7" w:rsidRPr="00A449B7">
        <w:rPr>
          <w:rFonts w:ascii="Book Antiqua" w:eastAsia="Calibri" w:hAnsi="Book Antiqua"/>
        </w:rPr>
        <w:t>pirmšķietami</w:t>
      </w:r>
      <w:proofErr w:type="spellEnd"/>
      <w:r w:rsidR="00A449B7" w:rsidRPr="00A449B7">
        <w:rPr>
          <w:rFonts w:ascii="Book Antiqua" w:eastAsia="Calibri" w:hAnsi="Book Antiqua"/>
        </w:rPr>
        <w:t xml:space="preserve"> prettiesisks. Savukārt </w:t>
      </w:r>
      <w:r w:rsidR="001056C9">
        <w:rPr>
          <w:rFonts w:ascii="Book Antiqua" w:eastAsia="Calibri" w:hAnsi="Book Antiqua"/>
        </w:rPr>
        <w:t>L</w:t>
      </w:r>
      <w:r w:rsidR="00A449B7" w:rsidRPr="00A449B7">
        <w:rPr>
          <w:rFonts w:ascii="Book Antiqua" w:eastAsia="Calibri" w:hAnsi="Book Antiqua"/>
        </w:rPr>
        <w:t xml:space="preserve">ikuma 30. pantā ir noteikts, ka, lai pieņemtu lēmumu par pagaidu noregulējuma piemērošanu </w:t>
      </w:r>
      <w:r w:rsidR="000528AD">
        <w:rPr>
          <w:rFonts w:ascii="Book Antiqua" w:eastAsia="Calibri" w:hAnsi="Book Antiqua"/>
        </w:rPr>
        <w:t>P</w:t>
      </w:r>
      <w:r w:rsidR="00A449B7" w:rsidRPr="00A449B7">
        <w:rPr>
          <w:rFonts w:ascii="Book Antiqua" w:eastAsia="Calibri" w:hAnsi="Book Antiqua"/>
        </w:rPr>
        <w:t xml:space="preserve">adomei ir jābūt pierādījumiem, kas liecina par Eiropas Savienības konkurences tiesību </w:t>
      </w:r>
      <w:r w:rsidR="00A449B7" w:rsidRPr="000528AD">
        <w:rPr>
          <w:rFonts w:ascii="Book Antiqua" w:eastAsia="Calibri" w:hAnsi="Book Antiqua"/>
          <w:b/>
          <w:bCs/>
          <w:i/>
          <w:iCs/>
        </w:rPr>
        <w:t>iespējamo</w:t>
      </w:r>
      <w:r w:rsidR="00A449B7" w:rsidRPr="00A449B7">
        <w:rPr>
          <w:rFonts w:ascii="Book Antiqua" w:eastAsia="Calibri" w:hAnsi="Book Antiqua"/>
        </w:rPr>
        <w:t xml:space="preserve"> pārkāpumu. </w:t>
      </w:r>
    </w:p>
    <w:p w14:paraId="577C0589" w14:textId="307C84FB" w:rsidR="009417B8" w:rsidRPr="00A449B7" w:rsidRDefault="009417B8" w:rsidP="00064023">
      <w:pPr>
        <w:spacing w:after="120" w:line="259" w:lineRule="auto"/>
        <w:ind w:firstLine="567"/>
        <w:jc w:val="both"/>
        <w:rPr>
          <w:rFonts w:ascii="Book Antiqua" w:eastAsia="Calibri" w:hAnsi="Book Antiqua"/>
        </w:rPr>
      </w:pPr>
      <w:r>
        <w:rPr>
          <w:rFonts w:ascii="Book Antiqua" w:eastAsia="Calibri" w:hAnsi="Book Antiqua"/>
        </w:rPr>
        <w:t xml:space="preserve">Līdz ar to atbilstoši pašreizējai </w:t>
      </w:r>
      <w:r w:rsidR="001056C9">
        <w:rPr>
          <w:rFonts w:ascii="Book Antiqua" w:eastAsia="Calibri" w:hAnsi="Book Antiqua"/>
        </w:rPr>
        <w:t>L</w:t>
      </w:r>
      <w:r>
        <w:rPr>
          <w:rFonts w:ascii="Book Antiqua" w:eastAsia="Calibri" w:hAnsi="Book Antiqua"/>
        </w:rPr>
        <w:t xml:space="preserve">ikuma redakcijai, lai Padome piemērotu pagaidu noregulējumu, ir pietiekami ar to, ka tās </w:t>
      </w:r>
      <w:r w:rsidR="00A449B7" w:rsidRPr="00A449B7">
        <w:rPr>
          <w:rFonts w:ascii="Book Antiqua" w:eastAsia="Calibri" w:hAnsi="Book Antiqua"/>
        </w:rPr>
        <w:t xml:space="preserve">rīcībā ir pierādījumi, kas liecina </w:t>
      </w:r>
      <w:r w:rsidR="00582800">
        <w:rPr>
          <w:rFonts w:ascii="Book Antiqua" w:eastAsia="Calibri" w:hAnsi="Book Antiqua"/>
        </w:rPr>
        <w:t xml:space="preserve">tikai </w:t>
      </w:r>
      <w:r w:rsidR="00A449B7" w:rsidRPr="00A449B7">
        <w:rPr>
          <w:rFonts w:ascii="Book Antiqua" w:eastAsia="Calibri" w:hAnsi="Book Antiqua"/>
        </w:rPr>
        <w:t xml:space="preserve">par </w:t>
      </w:r>
      <w:r w:rsidR="00A449B7" w:rsidRPr="00582800">
        <w:rPr>
          <w:rFonts w:ascii="Book Antiqua" w:eastAsia="Calibri" w:hAnsi="Book Antiqua"/>
          <w:b/>
          <w:bCs/>
          <w:i/>
          <w:iCs/>
        </w:rPr>
        <w:t>iespējamu</w:t>
      </w:r>
      <w:r w:rsidR="00A449B7" w:rsidRPr="00A449B7">
        <w:rPr>
          <w:rFonts w:ascii="Book Antiqua" w:eastAsia="Calibri" w:hAnsi="Book Antiqua"/>
        </w:rPr>
        <w:t xml:space="preserve"> pārkāpumu, bet nav nepieciešams </w:t>
      </w:r>
      <w:proofErr w:type="spellStart"/>
      <w:r w:rsidR="00A449B7" w:rsidRPr="00582800">
        <w:rPr>
          <w:rFonts w:ascii="Book Antiqua" w:eastAsia="Calibri" w:hAnsi="Book Antiqua"/>
          <w:b/>
          <w:bCs/>
          <w:i/>
          <w:iCs/>
        </w:rPr>
        <w:t>pirmšķietami</w:t>
      </w:r>
      <w:proofErr w:type="spellEnd"/>
      <w:r w:rsidR="00A449B7" w:rsidRPr="00582800">
        <w:rPr>
          <w:rFonts w:ascii="Book Antiqua" w:eastAsia="Calibri" w:hAnsi="Book Antiqua"/>
          <w:b/>
          <w:bCs/>
          <w:i/>
          <w:iCs/>
        </w:rPr>
        <w:t xml:space="preserve"> </w:t>
      </w:r>
      <w:r w:rsidR="00A449B7" w:rsidRPr="00A449B7">
        <w:rPr>
          <w:rFonts w:ascii="Book Antiqua" w:eastAsia="Calibri" w:hAnsi="Book Antiqua"/>
        </w:rPr>
        <w:t xml:space="preserve">konstatēt pārkāpumu. </w:t>
      </w:r>
      <w:r w:rsidR="00582800">
        <w:rPr>
          <w:rFonts w:ascii="Book Antiqua" w:eastAsia="Calibri" w:hAnsi="Book Antiqua"/>
        </w:rPr>
        <w:t>Līdz ar to</w:t>
      </w:r>
      <w:r w:rsidR="009B0865">
        <w:rPr>
          <w:rFonts w:ascii="Book Antiqua" w:eastAsia="Calibri" w:hAnsi="Book Antiqua"/>
        </w:rPr>
        <w:t>, lai piemērotu</w:t>
      </w:r>
      <w:r w:rsidR="00582800">
        <w:rPr>
          <w:rFonts w:ascii="Book Antiqua" w:eastAsia="Calibri" w:hAnsi="Book Antiqua"/>
        </w:rPr>
        <w:t xml:space="preserve"> </w:t>
      </w:r>
      <w:r w:rsidR="00582800">
        <w:rPr>
          <w:rFonts w:ascii="Book Antiqua" w:eastAsia="Calibri" w:hAnsi="Book Antiqua"/>
        </w:rPr>
        <w:lastRenderedPageBreak/>
        <w:t>pagaidu noregulējum</w:t>
      </w:r>
      <w:r w:rsidR="009B0865">
        <w:rPr>
          <w:rFonts w:ascii="Book Antiqua" w:eastAsia="Calibri" w:hAnsi="Book Antiqua"/>
        </w:rPr>
        <w:t xml:space="preserve">u, Padomes rīcībā var pat nebūt konkrēti pierādījumi par konkurences tiesību pārkāpumu. </w:t>
      </w:r>
    </w:p>
    <w:p w14:paraId="183D53AE" w14:textId="473859CA" w:rsidR="00A449B7" w:rsidRDefault="00A449B7" w:rsidP="00064023">
      <w:pPr>
        <w:spacing w:after="120" w:line="259" w:lineRule="auto"/>
        <w:ind w:firstLine="567"/>
        <w:jc w:val="both"/>
        <w:rPr>
          <w:rFonts w:ascii="Book Antiqua" w:eastAsia="Calibri" w:hAnsi="Book Antiqua"/>
        </w:rPr>
      </w:pPr>
      <w:r w:rsidRPr="00A449B7">
        <w:rPr>
          <w:rFonts w:ascii="Book Antiqua" w:eastAsia="Calibri" w:hAnsi="Book Antiqua"/>
        </w:rPr>
        <w:t>Direktīvas 11.</w:t>
      </w:r>
      <w:r w:rsidR="009B0865">
        <w:rPr>
          <w:rFonts w:ascii="Book Antiqua" w:eastAsia="Calibri" w:hAnsi="Book Antiqua"/>
        </w:rPr>
        <w:t> </w:t>
      </w:r>
      <w:r w:rsidRPr="00A449B7">
        <w:rPr>
          <w:rFonts w:ascii="Book Antiqua" w:eastAsia="Calibri" w:hAnsi="Book Antiqua"/>
        </w:rPr>
        <w:t xml:space="preserve">pants noteic, ka dalībvalstu konkurences iestādēm ir jābūt pilnvarotām noteikt pagaidu noregulējumu, </w:t>
      </w:r>
      <w:r w:rsidRPr="00A449B7">
        <w:rPr>
          <w:rFonts w:ascii="Book Antiqua" w:eastAsia="Calibri" w:hAnsi="Book Antiqua"/>
          <w:u w:val="single"/>
        </w:rPr>
        <w:t xml:space="preserve">balstoties uz LESD 101. vai 102. panta pārkāpuma </w:t>
      </w:r>
      <w:proofErr w:type="spellStart"/>
      <w:r w:rsidRPr="00A449B7">
        <w:rPr>
          <w:rFonts w:ascii="Book Antiqua" w:eastAsia="Calibri" w:hAnsi="Book Antiqua"/>
          <w:i/>
          <w:iCs/>
          <w:u w:val="single"/>
        </w:rPr>
        <w:t>prima</w:t>
      </w:r>
      <w:proofErr w:type="spellEnd"/>
      <w:r w:rsidRPr="00A449B7">
        <w:rPr>
          <w:rFonts w:ascii="Book Antiqua" w:eastAsia="Calibri" w:hAnsi="Book Antiqua"/>
          <w:i/>
          <w:iCs/>
          <w:u w:val="single"/>
        </w:rPr>
        <w:t xml:space="preserve"> </w:t>
      </w:r>
      <w:proofErr w:type="spellStart"/>
      <w:r w:rsidRPr="00A449B7">
        <w:rPr>
          <w:rFonts w:ascii="Book Antiqua" w:eastAsia="Calibri" w:hAnsi="Book Antiqua"/>
          <w:i/>
          <w:iCs/>
          <w:u w:val="single"/>
        </w:rPr>
        <w:t>facie</w:t>
      </w:r>
      <w:proofErr w:type="spellEnd"/>
      <w:r w:rsidRPr="00A449B7">
        <w:rPr>
          <w:rFonts w:ascii="Book Antiqua" w:eastAsia="Calibri" w:hAnsi="Book Antiqua"/>
          <w:u w:val="single"/>
        </w:rPr>
        <w:t xml:space="preserve"> konstatējumu</w:t>
      </w:r>
      <w:r w:rsidRPr="00A449B7">
        <w:rPr>
          <w:rFonts w:ascii="Book Antiqua" w:eastAsia="Calibri" w:hAnsi="Book Antiqua"/>
        </w:rPr>
        <w:t xml:space="preserve">. Tātad arī Direktīva paredz augstāku pierādīšanas standartu, </w:t>
      </w:r>
      <w:r w:rsidR="009B0865" w:rsidRPr="00A449B7">
        <w:rPr>
          <w:rFonts w:ascii="Book Antiqua" w:eastAsia="Calibri" w:hAnsi="Book Antiqua"/>
        </w:rPr>
        <w:t>kurš ir līdzīgs Administratīvā procesa likuma 195. pantā noteiktajam pierādīšanas standartam</w:t>
      </w:r>
      <w:r w:rsidR="009B0865">
        <w:rPr>
          <w:rFonts w:ascii="Book Antiqua" w:eastAsia="Calibri" w:hAnsi="Book Antiqua"/>
        </w:rPr>
        <w:t xml:space="preserve">, un kas ir augstāks, </w:t>
      </w:r>
      <w:r w:rsidRPr="00A449B7">
        <w:rPr>
          <w:rFonts w:ascii="Book Antiqua" w:eastAsia="Calibri" w:hAnsi="Book Antiqua"/>
        </w:rPr>
        <w:t xml:space="preserve">nekā </w:t>
      </w:r>
      <w:r w:rsidR="009B0865">
        <w:rPr>
          <w:rFonts w:ascii="Book Antiqua" w:eastAsia="Calibri" w:hAnsi="Book Antiqua"/>
        </w:rPr>
        <w:t>š</w:t>
      </w:r>
      <w:r w:rsidRPr="00A449B7">
        <w:rPr>
          <w:rFonts w:ascii="Book Antiqua" w:eastAsia="Calibri" w:hAnsi="Book Antiqua"/>
        </w:rPr>
        <w:t xml:space="preserve">obrīd </w:t>
      </w:r>
      <w:r w:rsidR="004862A8">
        <w:rPr>
          <w:rFonts w:ascii="Book Antiqua" w:eastAsia="Calibri" w:hAnsi="Book Antiqua"/>
        </w:rPr>
        <w:t>L</w:t>
      </w:r>
      <w:r w:rsidRPr="00A449B7">
        <w:rPr>
          <w:rFonts w:ascii="Book Antiqua" w:eastAsia="Calibri" w:hAnsi="Book Antiqua"/>
        </w:rPr>
        <w:t>ikumā</w:t>
      </w:r>
      <w:r w:rsidR="009B0865">
        <w:rPr>
          <w:rFonts w:ascii="Book Antiqua" w:eastAsia="Calibri" w:hAnsi="Book Antiqua"/>
        </w:rPr>
        <w:t xml:space="preserve"> noteiktais. </w:t>
      </w:r>
    </w:p>
    <w:p w14:paraId="03BFE7B2" w14:textId="62A4B0B4" w:rsidR="00A449B7" w:rsidRPr="00F05625" w:rsidRDefault="004862A8" w:rsidP="00064023">
      <w:pPr>
        <w:spacing w:after="120" w:line="259" w:lineRule="auto"/>
        <w:ind w:firstLine="567"/>
        <w:jc w:val="both"/>
        <w:rPr>
          <w:rFonts w:ascii="Book Antiqua" w:eastAsia="Calibri" w:hAnsi="Book Antiqua"/>
          <w:b/>
          <w:bCs/>
        </w:rPr>
      </w:pPr>
      <w:r>
        <w:rPr>
          <w:rFonts w:ascii="Book Antiqua" w:eastAsia="Calibri" w:hAnsi="Book Antiqua"/>
        </w:rPr>
        <w:t xml:space="preserve">Ņemot vērā minēto, </w:t>
      </w:r>
      <w:r w:rsidRPr="00F05625">
        <w:rPr>
          <w:rFonts w:ascii="Book Antiqua" w:eastAsia="Calibri" w:hAnsi="Book Antiqua"/>
          <w:b/>
          <w:bCs/>
        </w:rPr>
        <w:t xml:space="preserve">atkārtoti aicinu </w:t>
      </w:r>
      <w:r w:rsidR="001056C9" w:rsidRPr="00F05625">
        <w:rPr>
          <w:rFonts w:ascii="Book Antiqua" w:eastAsia="Calibri" w:hAnsi="Book Antiqua"/>
          <w:b/>
          <w:bCs/>
        </w:rPr>
        <w:t xml:space="preserve">papildināt </w:t>
      </w:r>
      <w:r w:rsidRPr="00F05625">
        <w:rPr>
          <w:rFonts w:ascii="Book Antiqua" w:eastAsia="Calibri" w:hAnsi="Book Antiqua"/>
          <w:b/>
          <w:bCs/>
        </w:rPr>
        <w:t xml:space="preserve">Likumprojektu (pašreizējā redakcijā tas būtu Likumprojekta 20.pants), </w:t>
      </w:r>
      <w:r w:rsidR="001056C9" w:rsidRPr="00F05625">
        <w:rPr>
          <w:rFonts w:ascii="Book Antiqua" w:eastAsia="Calibri" w:hAnsi="Book Antiqua"/>
          <w:b/>
          <w:bCs/>
        </w:rPr>
        <w:t>nosakot</w:t>
      </w:r>
      <w:r w:rsidRPr="00F05625">
        <w:rPr>
          <w:rFonts w:ascii="Book Antiqua" w:eastAsia="Calibri" w:hAnsi="Book Antiqua"/>
          <w:b/>
          <w:bCs/>
        </w:rPr>
        <w:t xml:space="preserve"> Lik</w:t>
      </w:r>
      <w:r w:rsidR="00A449B7" w:rsidRPr="00F05625">
        <w:rPr>
          <w:rFonts w:ascii="Book Antiqua" w:eastAsia="Calibri" w:hAnsi="Book Antiqua"/>
          <w:b/>
          <w:bCs/>
        </w:rPr>
        <w:t>uma 30. panta pirm</w:t>
      </w:r>
      <w:r w:rsidR="001056C9" w:rsidRPr="00F05625">
        <w:rPr>
          <w:rFonts w:ascii="Book Antiqua" w:eastAsia="Calibri" w:hAnsi="Book Antiqua"/>
          <w:b/>
          <w:bCs/>
        </w:rPr>
        <w:t>ajā</w:t>
      </w:r>
      <w:r w:rsidR="00A449B7" w:rsidRPr="00F05625">
        <w:rPr>
          <w:rFonts w:ascii="Book Antiqua" w:eastAsia="Calibri" w:hAnsi="Book Antiqua"/>
          <w:b/>
          <w:bCs/>
        </w:rPr>
        <w:t xml:space="preserve"> daļ</w:t>
      </w:r>
      <w:r w:rsidR="001056C9" w:rsidRPr="00F05625">
        <w:rPr>
          <w:rFonts w:ascii="Book Antiqua" w:eastAsia="Calibri" w:hAnsi="Book Antiqua"/>
          <w:b/>
          <w:bCs/>
        </w:rPr>
        <w:t xml:space="preserve">ā pierādīšanas standartu </w:t>
      </w:r>
      <w:r w:rsidR="00A449B7" w:rsidRPr="00F05625">
        <w:rPr>
          <w:rFonts w:ascii="Book Antiqua" w:eastAsia="Calibri" w:hAnsi="Book Antiqua"/>
          <w:b/>
          <w:bCs/>
        </w:rPr>
        <w:t xml:space="preserve">atbilstoši Direktīvas 11. panta 1. punktā noteiktajam pierādīšanas standartam šādā redakcijā: </w:t>
      </w:r>
    </w:p>
    <w:p w14:paraId="742854F4" w14:textId="77777777" w:rsidR="00A449B7" w:rsidRPr="00A449B7" w:rsidRDefault="00A449B7" w:rsidP="00064023">
      <w:pPr>
        <w:spacing w:after="120" w:line="259" w:lineRule="auto"/>
        <w:ind w:firstLine="567"/>
        <w:jc w:val="both"/>
        <w:rPr>
          <w:rFonts w:ascii="Book Antiqua" w:eastAsia="Calibri" w:hAnsi="Book Antiqua"/>
        </w:rPr>
      </w:pPr>
      <w:r w:rsidRPr="00A449B7">
        <w:rPr>
          <w:rFonts w:ascii="Book Antiqua" w:eastAsia="Calibri" w:hAnsi="Book Antiqua"/>
        </w:rPr>
        <w:t>“</w:t>
      </w:r>
      <w:r w:rsidRPr="001056C9">
        <w:rPr>
          <w:rFonts w:ascii="Book Antiqua" w:eastAsia="Calibri" w:hAnsi="Book Antiqua"/>
          <w:i/>
          <w:iCs/>
        </w:rPr>
        <w:t xml:space="preserve">Konkurences padome, balstoties uz Līguma par Eiropas Savienības darbību 101. vai 102. panta pārkāpuma </w:t>
      </w:r>
      <w:proofErr w:type="spellStart"/>
      <w:r w:rsidRPr="001056C9">
        <w:rPr>
          <w:rFonts w:ascii="Book Antiqua" w:eastAsia="Calibri" w:hAnsi="Book Antiqua"/>
          <w:i/>
          <w:iCs/>
        </w:rPr>
        <w:t>prima</w:t>
      </w:r>
      <w:proofErr w:type="spellEnd"/>
      <w:r w:rsidRPr="001056C9">
        <w:rPr>
          <w:rFonts w:ascii="Book Antiqua" w:eastAsia="Calibri" w:hAnsi="Book Antiqua"/>
          <w:i/>
          <w:iCs/>
        </w:rPr>
        <w:t xml:space="preserve"> </w:t>
      </w:r>
      <w:proofErr w:type="spellStart"/>
      <w:r w:rsidRPr="001056C9">
        <w:rPr>
          <w:rFonts w:ascii="Book Antiqua" w:eastAsia="Calibri" w:hAnsi="Book Antiqua"/>
          <w:i/>
          <w:iCs/>
        </w:rPr>
        <w:t>facie</w:t>
      </w:r>
      <w:proofErr w:type="spellEnd"/>
      <w:r w:rsidRPr="001056C9">
        <w:rPr>
          <w:rFonts w:ascii="Book Antiqua" w:eastAsia="Calibri" w:hAnsi="Book Antiqua"/>
          <w:i/>
          <w:iCs/>
        </w:rPr>
        <w:t xml:space="preserve"> konstatējumu, var ar lēmumu noteikt pagaidu noregulējumu, ja tas ir steidzami, jo pastāv risks nodarīt būtisku un neatgriezenisku kaitējumu konkurencei</w:t>
      </w:r>
      <w:r w:rsidRPr="00A449B7">
        <w:rPr>
          <w:rFonts w:ascii="Book Antiqua" w:eastAsia="Calibri" w:hAnsi="Book Antiqua"/>
        </w:rPr>
        <w:t>”.</w:t>
      </w:r>
    </w:p>
    <w:p w14:paraId="4F20DB86" w14:textId="2C4D6EB8" w:rsidR="005D395F" w:rsidRDefault="005D395F" w:rsidP="00064023">
      <w:pPr>
        <w:spacing w:after="120" w:line="259" w:lineRule="auto"/>
        <w:ind w:firstLine="567"/>
        <w:jc w:val="both"/>
        <w:rPr>
          <w:rFonts w:ascii="Book Antiqua" w:eastAsia="Calibri" w:hAnsi="Book Antiqua"/>
        </w:rPr>
      </w:pPr>
    </w:p>
    <w:p w14:paraId="319D6276" w14:textId="59F0D25A" w:rsidR="00E55E19" w:rsidRPr="00E55E19" w:rsidRDefault="00E55E19" w:rsidP="00064023">
      <w:pPr>
        <w:spacing w:after="120" w:line="259" w:lineRule="auto"/>
        <w:ind w:firstLine="567"/>
        <w:jc w:val="both"/>
        <w:rPr>
          <w:rFonts w:ascii="Book Antiqua" w:eastAsia="Calibri" w:hAnsi="Book Antiqua"/>
          <w:b/>
          <w:bCs/>
          <w:i/>
          <w:iCs/>
        </w:rPr>
      </w:pPr>
      <w:r w:rsidRPr="00E55E19">
        <w:rPr>
          <w:rFonts w:ascii="Book Antiqua" w:eastAsia="Calibri" w:hAnsi="Book Antiqua"/>
          <w:b/>
          <w:bCs/>
          <w:i/>
          <w:iCs/>
        </w:rPr>
        <w:t>Par Padomes inspekciju</w:t>
      </w:r>
    </w:p>
    <w:p w14:paraId="44F68CA6" w14:textId="20757687" w:rsidR="00E55E19" w:rsidRPr="00E55E19" w:rsidRDefault="00E55E19" w:rsidP="00064023">
      <w:pPr>
        <w:spacing w:after="120" w:line="259" w:lineRule="auto"/>
        <w:ind w:firstLine="567"/>
        <w:jc w:val="both"/>
        <w:rPr>
          <w:rFonts w:ascii="Book Antiqua" w:eastAsia="Calibri" w:hAnsi="Book Antiqua"/>
        </w:rPr>
      </w:pPr>
      <w:r>
        <w:rPr>
          <w:rFonts w:ascii="Book Antiqua" w:eastAsia="Calibri" w:hAnsi="Book Antiqua"/>
        </w:rPr>
        <w:t xml:space="preserve">Likumprojekta 10.panta sestā daļa paredz papildināt Likuma 9.pantu ar </w:t>
      </w:r>
      <w:r w:rsidRPr="00E55E19">
        <w:rPr>
          <w:rFonts w:ascii="Book Antiqua" w:eastAsia="Calibri" w:hAnsi="Book Antiqua"/>
        </w:rPr>
        <w:t>desmito daļu šādā redakcijā:</w:t>
      </w:r>
    </w:p>
    <w:p w14:paraId="417EA3C8" w14:textId="77777777" w:rsidR="00E55E19" w:rsidRPr="00E55E19" w:rsidRDefault="00E55E19" w:rsidP="00064023">
      <w:pPr>
        <w:spacing w:after="120" w:line="259" w:lineRule="auto"/>
        <w:ind w:firstLine="567"/>
        <w:jc w:val="both"/>
        <w:rPr>
          <w:rFonts w:ascii="Book Antiqua" w:eastAsia="Calibri" w:hAnsi="Book Antiqua"/>
          <w:i/>
          <w:iCs/>
        </w:rPr>
      </w:pPr>
      <w:r w:rsidRPr="00E55E19">
        <w:rPr>
          <w:rFonts w:ascii="Book Antiqua" w:eastAsia="Calibri" w:hAnsi="Book Antiqua"/>
          <w:i/>
          <w:iCs/>
        </w:rPr>
        <w:t xml:space="preserve">“(10) Šā panta piektās daļas 4.punktā minēto procesuālo darbību veikšanā kopā ar Konkurences padomes amatpersonām ir tiesīgi piedalīties Konkurences padomes </w:t>
      </w:r>
      <w:r w:rsidRPr="00E55E19">
        <w:rPr>
          <w:rFonts w:ascii="Book Antiqua" w:eastAsia="Calibri" w:hAnsi="Book Antiqua"/>
          <w:i/>
          <w:iCs/>
          <w:u w:val="single"/>
        </w:rPr>
        <w:t>piesaistīti eksperti vai speciālisti no valsts pārvaldes institūcijām</w:t>
      </w:r>
      <w:r w:rsidRPr="00E55E19">
        <w:rPr>
          <w:rFonts w:ascii="Book Antiqua" w:eastAsia="Calibri" w:hAnsi="Book Antiqua"/>
          <w:i/>
          <w:iCs/>
        </w:rPr>
        <w:t>.”</w:t>
      </w:r>
    </w:p>
    <w:p w14:paraId="71EF5F40" w14:textId="479F4808" w:rsidR="007308F8" w:rsidRDefault="007308F8" w:rsidP="00064023">
      <w:pPr>
        <w:spacing w:after="120" w:line="259" w:lineRule="auto"/>
        <w:ind w:firstLine="567"/>
        <w:jc w:val="both"/>
        <w:rPr>
          <w:rFonts w:ascii="Book Antiqua" w:eastAsia="Calibri" w:hAnsi="Book Antiqua"/>
        </w:rPr>
      </w:pPr>
      <w:r>
        <w:rPr>
          <w:rFonts w:ascii="Book Antiqua" w:eastAsia="Calibri" w:hAnsi="Book Antiqua"/>
        </w:rPr>
        <w:t xml:space="preserve">Šāda redakcija ir vēl plašāka un nekonkrētāka par iepriekšējo redakciju, tāpēc kopsakarā ar turpmāk norādītajiem apsvērumiem tās iekļaušana Likumā nebūtu pieļaujama. </w:t>
      </w:r>
    </w:p>
    <w:p w14:paraId="4A3C1D2C" w14:textId="471AD0F0" w:rsidR="00E55E19" w:rsidRDefault="007308F8" w:rsidP="00064023">
      <w:pPr>
        <w:spacing w:after="120" w:line="259" w:lineRule="auto"/>
        <w:ind w:firstLine="567"/>
        <w:jc w:val="both"/>
        <w:rPr>
          <w:rFonts w:ascii="Book Antiqua" w:eastAsia="Calibri" w:hAnsi="Book Antiqua"/>
        </w:rPr>
      </w:pPr>
      <w:r>
        <w:rPr>
          <w:rFonts w:ascii="Book Antiqua" w:eastAsia="Calibri" w:hAnsi="Book Antiqua"/>
        </w:rPr>
        <w:t xml:space="preserve">Pirmkārt, </w:t>
      </w:r>
      <w:r w:rsidR="00596DB4">
        <w:rPr>
          <w:rFonts w:ascii="Book Antiqua" w:eastAsia="Calibri" w:hAnsi="Book Antiqua"/>
        </w:rPr>
        <w:t>Likumprojektā nav konkretizētas ne valsts pārvaldes institūcijas, kuru eksperti vai speciālisti varētu piedalīties procesuālo darbību veikšanā, ne arī personas, kuras ir uzskatāmas par ekspertiem un speciālistiem, ņemot vērā, ka amati ar šādiem nosaukumiem valsts pārvaldē nav</w:t>
      </w:r>
      <w:r w:rsidR="00586F17">
        <w:rPr>
          <w:rFonts w:ascii="Book Antiqua" w:eastAsia="Calibri" w:hAnsi="Book Antiqua"/>
        </w:rPr>
        <w:t xml:space="preserve"> definēti</w:t>
      </w:r>
      <w:r w:rsidR="00596DB4">
        <w:rPr>
          <w:rFonts w:ascii="Book Antiqua" w:eastAsia="Calibri" w:hAnsi="Book Antiqua"/>
        </w:rPr>
        <w:t>.</w:t>
      </w:r>
      <w:r>
        <w:rPr>
          <w:rFonts w:ascii="Book Antiqua" w:eastAsia="Calibri" w:hAnsi="Book Antiqua"/>
        </w:rPr>
        <w:t xml:space="preserve"> </w:t>
      </w:r>
      <w:r w:rsidR="000D65B0">
        <w:rPr>
          <w:rFonts w:ascii="Book Antiqua" w:eastAsia="Calibri" w:hAnsi="Book Antiqua"/>
        </w:rPr>
        <w:t>Pašreizējā redakcija arī nenosaka nekādas piesaistāmo valsts</w:t>
      </w:r>
      <w:r w:rsidR="00C431E2">
        <w:rPr>
          <w:rFonts w:ascii="Book Antiqua" w:eastAsia="Calibri" w:hAnsi="Book Antiqua"/>
        </w:rPr>
        <w:t xml:space="preserve"> pārvaldes</w:t>
      </w:r>
      <w:r w:rsidR="000D65B0">
        <w:rPr>
          <w:rFonts w:ascii="Book Antiqua" w:eastAsia="Calibri" w:hAnsi="Book Antiqua"/>
        </w:rPr>
        <w:t xml:space="preserve"> institūciju kategorijas vai t</w:t>
      </w:r>
      <w:r w:rsidR="00C431E2">
        <w:rPr>
          <w:rFonts w:ascii="Book Antiqua" w:eastAsia="Calibri" w:hAnsi="Book Antiqua"/>
        </w:rPr>
        <w:t>o</w:t>
      </w:r>
      <w:r w:rsidR="000D65B0">
        <w:rPr>
          <w:rFonts w:ascii="Book Antiqua" w:eastAsia="Calibri" w:hAnsi="Book Antiqua"/>
        </w:rPr>
        <w:t xml:space="preserve"> kompetences jomas, kā rezultātā Padome varētu pilnvarot kā ekspertu vai speciālistu pilnīgi jebkuras valsts pārvaldes institūcijas darbinieku vai amatpersonu</w:t>
      </w:r>
      <w:r w:rsidR="00C431E2">
        <w:rPr>
          <w:rFonts w:ascii="Book Antiqua" w:eastAsia="Calibri" w:hAnsi="Book Antiqua"/>
        </w:rPr>
        <w:t>.</w:t>
      </w:r>
      <w:r w:rsidR="000D65B0">
        <w:rPr>
          <w:rFonts w:ascii="Book Antiqua" w:eastAsia="Calibri" w:hAnsi="Book Antiqua"/>
        </w:rPr>
        <w:t xml:space="preserve"> </w:t>
      </w:r>
      <w:r>
        <w:rPr>
          <w:rFonts w:ascii="Book Antiqua" w:eastAsia="Calibri" w:hAnsi="Book Antiqua"/>
        </w:rPr>
        <w:t xml:space="preserve">Līdz ar to </w:t>
      </w:r>
      <w:r w:rsidR="000D65B0">
        <w:rPr>
          <w:rFonts w:ascii="Book Antiqua" w:eastAsia="Calibri" w:hAnsi="Book Antiqua"/>
        </w:rPr>
        <w:t>grozījumu pieņemšana šādā redakcijā paredzētu Padomes pilnvaras piesaistīt procesuālo darbību veikšanā nesamērīgi plašu valsts</w:t>
      </w:r>
      <w:r w:rsidR="00C431E2">
        <w:rPr>
          <w:rFonts w:ascii="Book Antiqua" w:eastAsia="Calibri" w:hAnsi="Book Antiqua"/>
        </w:rPr>
        <w:t xml:space="preserve"> pārvaldes</w:t>
      </w:r>
      <w:r w:rsidR="000D65B0">
        <w:rPr>
          <w:rFonts w:ascii="Book Antiqua" w:eastAsia="Calibri" w:hAnsi="Book Antiqua"/>
        </w:rPr>
        <w:t xml:space="preserve"> institūcijas pārstāvošo personu loku. </w:t>
      </w:r>
    </w:p>
    <w:p w14:paraId="33C9D3E0" w14:textId="6307373C" w:rsidR="009D3769" w:rsidRDefault="007308F8" w:rsidP="00064023">
      <w:pPr>
        <w:spacing w:after="120" w:line="259" w:lineRule="auto"/>
        <w:ind w:firstLine="567"/>
        <w:jc w:val="both"/>
        <w:rPr>
          <w:rFonts w:ascii="Book Antiqua" w:eastAsia="Calibri" w:hAnsi="Book Antiqua"/>
        </w:rPr>
      </w:pPr>
      <w:r>
        <w:rPr>
          <w:rFonts w:ascii="Book Antiqua" w:eastAsia="Calibri" w:hAnsi="Book Antiqua"/>
        </w:rPr>
        <w:t>Otrkārt, Likuma 10.pantā noteikta</w:t>
      </w:r>
      <w:r w:rsidR="009D3769">
        <w:rPr>
          <w:rFonts w:ascii="Book Antiqua" w:eastAsia="Calibri" w:hAnsi="Book Antiqua"/>
        </w:rPr>
        <w:t xml:space="preserve"> </w:t>
      </w:r>
      <w:r>
        <w:rPr>
          <w:rFonts w:ascii="Book Antiqua" w:eastAsia="Calibri" w:hAnsi="Book Antiqua"/>
        </w:rPr>
        <w:t>Padomes amatpersonu un darbinieku atbildība</w:t>
      </w:r>
      <w:r w:rsidR="009D3769">
        <w:rPr>
          <w:rFonts w:ascii="Book Antiqua" w:eastAsia="Calibri" w:hAnsi="Book Antiqua"/>
        </w:rPr>
        <w:t xml:space="preserve">. Lai gan Likuma 10.panta pirmajā daļā paredzēts aizliegums </w:t>
      </w:r>
      <w:r w:rsidR="009D3769" w:rsidRPr="009D3769">
        <w:rPr>
          <w:rFonts w:ascii="Book Antiqua" w:eastAsia="Calibri" w:hAnsi="Book Antiqua"/>
        </w:rPr>
        <w:t>izpaust vai izmantot informāciju, kas kļuvusi zināma, pildot dienesta vai darba pienākumus vai uzticētos uzdevumus</w:t>
      </w:r>
      <w:r w:rsidR="009D3769">
        <w:rPr>
          <w:rFonts w:ascii="Book Antiqua" w:eastAsia="Calibri" w:hAnsi="Book Antiqua"/>
        </w:rPr>
        <w:t xml:space="preserve"> gan Padomes amatpersonām un darbiniekiem, gan arī </w:t>
      </w:r>
      <w:r w:rsidR="009D3769" w:rsidRPr="009D3769">
        <w:rPr>
          <w:rFonts w:ascii="Book Antiqua" w:eastAsia="Calibri" w:hAnsi="Book Antiqua"/>
        </w:rPr>
        <w:t xml:space="preserve">citām personām, kas iesaistītas </w:t>
      </w:r>
      <w:r w:rsidR="009D3769">
        <w:rPr>
          <w:rFonts w:ascii="Book Antiqua" w:eastAsia="Calibri" w:hAnsi="Book Antiqua"/>
        </w:rPr>
        <w:t>L</w:t>
      </w:r>
      <w:r w:rsidR="009D3769" w:rsidRPr="009D3769">
        <w:rPr>
          <w:rFonts w:ascii="Book Antiqua" w:eastAsia="Calibri" w:hAnsi="Book Antiqua"/>
        </w:rPr>
        <w:t>ikumā noteikto uzdevumu izpildē,</w:t>
      </w:r>
      <w:r w:rsidR="009D3769">
        <w:rPr>
          <w:rFonts w:ascii="Book Antiqua" w:eastAsia="Calibri" w:hAnsi="Book Antiqua"/>
        </w:rPr>
        <w:t xml:space="preserve"> taču Likuma 10.panta turpmākajās daļās </w:t>
      </w:r>
      <w:r w:rsidR="00CA12DB">
        <w:rPr>
          <w:rFonts w:ascii="Book Antiqua" w:eastAsia="Calibri" w:hAnsi="Book Antiqua"/>
        </w:rPr>
        <w:t xml:space="preserve">atbildība par konfidencialitāti un iespējas piedzīt zaudējumu atlīdzinājumu arī pēc tiesisko attiecību ar Padomi izbeigšanas ir tikai Padomes amatpersonām un darbiniekiem. Tādējādi citas personas, kuras iesaistītas Likumā noteikto uzdevumu izpildē, nekādu atbildību par iegūtās informācijas izpaušanu un konfidencialitātes pārkāpšanu nenestu, kā arī zaudējumus no tām piedzīt nebūtu iespējams. </w:t>
      </w:r>
    </w:p>
    <w:p w14:paraId="436F2FD4" w14:textId="054AE2C9" w:rsidR="009D3769" w:rsidRDefault="00CA12DB" w:rsidP="00064023">
      <w:pPr>
        <w:spacing w:after="120" w:line="259" w:lineRule="auto"/>
        <w:ind w:firstLine="567"/>
        <w:jc w:val="both"/>
        <w:rPr>
          <w:rFonts w:ascii="Book Antiqua" w:eastAsia="Calibri" w:hAnsi="Book Antiqua"/>
        </w:rPr>
      </w:pPr>
      <w:r>
        <w:rPr>
          <w:rFonts w:ascii="Book Antiqua" w:eastAsia="Calibri" w:hAnsi="Book Antiqua"/>
        </w:rPr>
        <w:t>Līdz ar to nav pieļaujams Likumā noteikt</w:t>
      </w:r>
      <w:r w:rsidR="00941693">
        <w:rPr>
          <w:rFonts w:ascii="Book Antiqua" w:eastAsia="Calibri" w:hAnsi="Book Antiqua"/>
        </w:rPr>
        <w:t xml:space="preserve"> Padomei</w:t>
      </w:r>
      <w:r>
        <w:rPr>
          <w:rFonts w:ascii="Book Antiqua" w:eastAsia="Calibri" w:hAnsi="Book Antiqua"/>
        </w:rPr>
        <w:t xml:space="preserve"> tiesības</w:t>
      </w:r>
      <w:r w:rsidR="00941693">
        <w:rPr>
          <w:rFonts w:ascii="Book Antiqua" w:eastAsia="Calibri" w:hAnsi="Book Antiqua"/>
        </w:rPr>
        <w:t xml:space="preserve"> procesuālo darbību laikā piesaistīt </w:t>
      </w:r>
      <w:r w:rsidR="00BB68D0">
        <w:rPr>
          <w:rFonts w:ascii="Book Antiqua" w:eastAsia="Calibri" w:hAnsi="Book Antiqua"/>
        </w:rPr>
        <w:t>jebkuras citas valsts</w:t>
      </w:r>
      <w:r w:rsidR="00941693">
        <w:rPr>
          <w:rFonts w:ascii="Book Antiqua" w:eastAsia="Calibri" w:hAnsi="Book Antiqua"/>
        </w:rPr>
        <w:t xml:space="preserve"> institūcijas speciālistus un ekspertus, ja tiem netiek paredzēta atbildība par procesuālo darbību laikā iegūtās informācijas izpaušanu. </w:t>
      </w:r>
      <w:r w:rsidR="00E31A60">
        <w:rPr>
          <w:rFonts w:ascii="Book Antiqua" w:eastAsia="Calibri" w:hAnsi="Book Antiqua"/>
        </w:rPr>
        <w:t xml:space="preserve">Šeit jāņem vērā, ka Likuma 9.panta piektās daļas 4.punktā noteiktās procesuālās darbības paredz plašas Padomes </w:t>
      </w:r>
      <w:r w:rsidR="00E31A60">
        <w:rPr>
          <w:rFonts w:ascii="Book Antiqua" w:eastAsia="Calibri" w:hAnsi="Book Antiqua"/>
        </w:rPr>
        <w:lastRenderedPageBreak/>
        <w:t>tiesības iejaukties</w:t>
      </w:r>
      <w:r w:rsidR="00C70BD0">
        <w:rPr>
          <w:rFonts w:ascii="Book Antiqua" w:eastAsia="Calibri" w:hAnsi="Book Antiqua"/>
        </w:rPr>
        <w:t xml:space="preserve"> un veikt virkni izmeklēšanas darbības</w:t>
      </w:r>
      <w:r w:rsidR="00C70BD0" w:rsidRPr="00E31A60">
        <w:rPr>
          <w:rFonts w:ascii="Book Antiqua" w:eastAsia="Calibri" w:hAnsi="Book Antiqua"/>
        </w:rPr>
        <w:t xml:space="preserve"> </w:t>
      </w:r>
      <w:r w:rsidR="00E31A60" w:rsidRPr="00E31A60">
        <w:rPr>
          <w:rFonts w:ascii="Book Antiqua" w:eastAsia="Calibri" w:hAnsi="Book Antiqua"/>
        </w:rPr>
        <w:t>tirgus dalībniek</w:t>
      </w:r>
      <w:r w:rsidR="005018FA">
        <w:rPr>
          <w:rFonts w:ascii="Book Antiqua" w:eastAsia="Calibri" w:hAnsi="Book Antiqua"/>
        </w:rPr>
        <w:t xml:space="preserve">u, </w:t>
      </w:r>
      <w:r w:rsidR="00E31A60" w:rsidRPr="00E31A60">
        <w:rPr>
          <w:rFonts w:ascii="Book Antiqua" w:eastAsia="Calibri" w:hAnsi="Book Antiqua"/>
        </w:rPr>
        <w:t>tirgus dalībnieku apvienīb</w:t>
      </w:r>
      <w:r w:rsidR="005018FA">
        <w:rPr>
          <w:rFonts w:ascii="Book Antiqua" w:eastAsia="Calibri" w:hAnsi="Book Antiqua"/>
        </w:rPr>
        <w:t>u</w:t>
      </w:r>
      <w:r w:rsidR="000A23B5">
        <w:rPr>
          <w:rFonts w:ascii="Book Antiqua" w:eastAsia="Calibri" w:hAnsi="Book Antiqua"/>
        </w:rPr>
        <w:t>, to darbin</w:t>
      </w:r>
      <w:r w:rsidR="00E31A60" w:rsidRPr="00E31A60">
        <w:rPr>
          <w:rFonts w:ascii="Book Antiqua" w:eastAsia="Calibri" w:hAnsi="Book Antiqua"/>
        </w:rPr>
        <w:t>ieku īpašumā, valdījumā vai lietošanā esošajās neapdzīvojamās telpās, transportlīdzekļos, dzīvokļos, būvēs un citos kustamos un nekustamos objektos</w:t>
      </w:r>
      <w:r w:rsidR="00C70BD0">
        <w:rPr>
          <w:rFonts w:ascii="Book Antiqua" w:eastAsia="Calibri" w:hAnsi="Book Antiqua"/>
        </w:rPr>
        <w:t xml:space="preserve">. Līdz ar to ir jābūt nodrošinātam atbilstošam šo personu aizsardzības mehānismam, nodrošinot, ka visas personas, kas iesaistītas šo procesuālo darbību veikšanā, ir pilnībā reāli atbildīgas par procesuālo darbību laikā </w:t>
      </w:r>
      <w:r w:rsidR="00CC1859">
        <w:rPr>
          <w:rFonts w:ascii="Book Antiqua" w:eastAsia="Calibri" w:hAnsi="Book Antiqua"/>
        </w:rPr>
        <w:t xml:space="preserve">iegūtās </w:t>
      </w:r>
      <w:r w:rsidR="00C70BD0">
        <w:rPr>
          <w:rFonts w:ascii="Book Antiqua" w:eastAsia="Calibri" w:hAnsi="Book Antiqua"/>
        </w:rPr>
        <w:t xml:space="preserve">informācijas neizpaušanu. </w:t>
      </w:r>
    </w:p>
    <w:p w14:paraId="3DFCB80B" w14:textId="39B00F50" w:rsidR="00596DB4" w:rsidRDefault="00CC1859" w:rsidP="00064023">
      <w:pPr>
        <w:spacing w:after="120" w:line="259" w:lineRule="auto"/>
        <w:ind w:firstLine="567"/>
        <w:jc w:val="both"/>
        <w:rPr>
          <w:rFonts w:ascii="Book Antiqua" w:eastAsia="Calibri" w:hAnsi="Book Antiqua"/>
        </w:rPr>
      </w:pPr>
      <w:r>
        <w:rPr>
          <w:rFonts w:ascii="Book Antiqua" w:eastAsia="Calibri" w:hAnsi="Book Antiqua"/>
        </w:rPr>
        <w:t>Pašreizējā redakcija neatbilst arī D</w:t>
      </w:r>
      <w:r w:rsidR="00596DB4" w:rsidRPr="002E06DF">
        <w:rPr>
          <w:rFonts w:ascii="Book Antiqua" w:eastAsia="Calibri" w:hAnsi="Book Antiqua"/>
        </w:rPr>
        <w:t>irektīvas 6. panta 2. punktā noteikt</w:t>
      </w:r>
      <w:r>
        <w:rPr>
          <w:rFonts w:ascii="Book Antiqua" w:eastAsia="Calibri" w:hAnsi="Book Antiqua"/>
        </w:rPr>
        <w:t>ajam</w:t>
      </w:r>
      <w:r w:rsidR="00596DB4" w:rsidRPr="002E06DF">
        <w:rPr>
          <w:rFonts w:ascii="Book Antiqua" w:eastAsia="Calibri" w:hAnsi="Book Antiqua"/>
        </w:rPr>
        <w:t>, ka dalībvalstis nodrošina</w:t>
      </w:r>
      <w:r>
        <w:rPr>
          <w:rFonts w:ascii="Book Antiqua" w:eastAsia="Calibri" w:hAnsi="Book Antiqua"/>
        </w:rPr>
        <w:t>:</w:t>
      </w:r>
      <w:r w:rsidR="00596DB4" w:rsidRPr="002E06DF">
        <w:rPr>
          <w:rFonts w:ascii="Book Antiqua" w:eastAsia="Calibri" w:hAnsi="Book Antiqua"/>
        </w:rPr>
        <w:t xml:space="preserve"> </w:t>
      </w:r>
      <w:r w:rsidR="00596DB4" w:rsidRPr="002E06DF">
        <w:rPr>
          <w:rFonts w:ascii="Book Antiqua" w:eastAsia="Calibri" w:hAnsi="Book Antiqua"/>
          <w:i/>
          <w:iCs/>
        </w:rPr>
        <w:t>“ja uzņēmums vai uzņēmumu apvienība pretojas inspekcijai, kuru ir uzdevusi veikt administratīvā valsts konkurences iestāde un/vai kuru ir atļāvusi veikt valsts tiesu iestāde, valsts konkurences iestādes var piesaistīt nepieciešamo policijas vai līdzvērtīgas tiesībaizsardzības iestādes palīdzību, lai būtu iespējams veikt šo inspekciju. Minēto palīdzību var piesaistīt arī piesardzības nolūkā.”</w:t>
      </w:r>
      <w:r w:rsidR="00596DB4" w:rsidRPr="002E06DF">
        <w:rPr>
          <w:rFonts w:ascii="Book Antiqua" w:eastAsia="Calibri" w:hAnsi="Book Antiqua"/>
        </w:rPr>
        <w:t xml:space="preserve"> Tātad Direktīvā ir noteikts, kādiem mērķiem konkurences iestādes var piesaistīt tiesībaizsardzības iestādes palīdzību procesuālajās darbībās – ja tirgus dalībnieks vai to apvienība </w:t>
      </w:r>
      <w:r w:rsidR="00596DB4" w:rsidRPr="00CC1859">
        <w:rPr>
          <w:rFonts w:ascii="Book Antiqua" w:eastAsia="Calibri" w:hAnsi="Book Antiqua"/>
          <w:u w:val="single"/>
        </w:rPr>
        <w:t>pretojas</w:t>
      </w:r>
      <w:r w:rsidR="00596DB4" w:rsidRPr="002E06DF">
        <w:rPr>
          <w:rFonts w:ascii="Book Antiqua" w:eastAsia="Calibri" w:hAnsi="Book Antiqua"/>
        </w:rPr>
        <w:t xml:space="preserve"> procesuālajām darbībām. Šādiem mērķiem </w:t>
      </w:r>
      <w:r w:rsidR="00816D14">
        <w:rPr>
          <w:rFonts w:ascii="Book Antiqua" w:eastAsia="Calibri" w:hAnsi="Book Antiqua"/>
        </w:rPr>
        <w:t>P</w:t>
      </w:r>
      <w:r w:rsidR="00596DB4" w:rsidRPr="002E06DF">
        <w:rPr>
          <w:rFonts w:ascii="Book Antiqua" w:eastAsia="Calibri" w:hAnsi="Book Antiqua"/>
        </w:rPr>
        <w:t xml:space="preserve">adomi </w:t>
      </w:r>
      <w:r w:rsidR="00816D14">
        <w:rPr>
          <w:rFonts w:ascii="Book Antiqua" w:eastAsia="Calibri" w:hAnsi="Book Antiqua"/>
        </w:rPr>
        <w:t>L</w:t>
      </w:r>
      <w:r w:rsidR="00596DB4" w:rsidRPr="002E06DF">
        <w:rPr>
          <w:rFonts w:ascii="Book Antiqua" w:eastAsia="Calibri" w:hAnsi="Book Antiqua"/>
        </w:rPr>
        <w:t>ikuma 9. panta piektās daļas 4.punktā noteikto procesuālo darbību laikā pavada Valsts policijas darbinieki</w:t>
      </w:r>
      <w:r>
        <w:rPr>
          <w:rFonts w:ascii="Book Antiqua" w:eastAsia="Calibri" w:hAnsi="Book Antiqua"/>
        </w:rPr>
        <w:t>. L</w:t>
      </w:r>
      <w:r w:rsidR="00596DB4" w:rsidRPr="002E06DF">
        <w:rPr>
          <w:rFonts w:ascii="Book Antiqua" w:eastAsia="Calibri" w:hAnsi="Book Antiqua"/>
        </w:rPr>
        <w:t xml:space="preserve">īdz ar to </w:t>
      </w:r>
      <w:r>
        <w:rPr>
          <w:rFonts w:ascii="Book Antiqua" w:eastAsia="Calibri" w:hAnsi="Book Antiqua"/>
        </w:rPr>
        <w:t xml:space="preserve">jau pašreizējais Likuma regulējums pilnībā </w:t>
      </w:r>
      <w:r w:rsidR="00596DB4" w:rsidRPr="002E06DF">
        <w:rPr>
          <w:rFonts w:ascii="Book Antiqua" w:eastAsia="Calibri" w:hAnsi="Book Antiqua"/>
        </w:rPr>
        <w:t>izpild</w:t>
      </w:r>
      <w:r>
        <w:rPr>
          <w:rFonts w:ascii="Book Antiqua" w:eastAsia="Calibri" w:hAnsi="Book Antiqua"/>
        </w:rPr>
        <w:t>a D</w:t>
      </w:r>
      <w:r w:rsidR="00596DB4" w:rsidRPr="002E06DF">
        <w:rPr>
          <w:rFonts w:ascii="Book Antiqua" w:eastAsia="Calibri" w:hAnsi="Book Antiqua"/>
        </w:rPr>
        <w:t>irektīvā noteikto prasību.</w:t>
      </w:r>
    </w:p>
    <w:p w14:paraId="5FD2F06A" w14:textId="78FB6657" w:rsidR="00596DB4" w:rsidRDefault="00596DB4" w:rsidP="00064023">
      <w:pPr>
        <w:spacing w:after="120" w:line="259" w:lineRule="auto"/>
        <w:ind w:firstLine="567"/>
        <w:jc w:val="both"/>
        <w:rPr>
          <w:rFonts w:ascii="Book Antiqua" w:eastAsia="Calibri" w:hAnsi="Book Antiqua"/>
        </w:rPr>
      </w:pPr>
      <w:r w:rsidRPr="002E06DF">
        <w:rPr>
          <w:rFonts w:ascii="Book Antiqua" w:eastAsia="Calibri" w:hAnsi="Book Antiqua"/>
        </w:rPr>
        <w:t xml:space="preserve">Ņemot vērā minēto, </w:t>
      </w:r>
      <w:r w:rsidRPr="00F05625">
        <w:rPr>
          <w:rFonts w:ascii="Book Antiqua" w:eastAsia="Calibri" w:hAnsi="Book Antiqua"/>
          <w:b/>
          <w:bCs/>
        </w:rPr>
        <w:t>aicinu izslēgt no Likumprojekta 10. panta sesto daļu, kas paredz papildināt Konkurences likuma 9.pantu ar desmito daļu</w:t>
      </w:r>
      <w:r w:rsidR="00586F17">
        <w:rPr>
          <w:rFonts w:ascii="Book Antiqua" w:eastAsia="Calibri" w:hAnsi="Book Antiqua"/>
          <w:b/>
          <w:bCs/>
        </w:rPr>
        <w:t xml:space="preserve">. </w:t>
      </w:r>
    </w:p>
    <w:p w14:paraId="22F71132" w14:textId="13AA943F" w:rsidR="005D395F" w:rsidRDefault="005D395F" w:rsidP="00064023">
      <w:pPr>
        <w:spacing w:after="120" w:line="259" w:lineRule="auto"/>
        <w:ind w:firstLine="567"/>
        <w:jc w:val="both"/>
        <w:rPr>
          <w:rFonts w:ascii="Book Antiqua" w:eastAsia="Calibri" w:hAnsi="Book Antiqua"/>
        </w:rPr>
      </w:pPr>
    </w:p>
    <w:p w14:paraId="7D88F85A" w14:textId="790AB0D9" w:rsidR="00CD4A86" w:rsidRPr="00AE0A46" w:rsidRDefault="00C61614" w:rsidP="00064023">
      <w:pPr>
        <w:spacing w:after="120" w:line="259" w:lineRule="auto"/>
        <w:ind w:firstLine="567"/>
        <w:jc w:val="both"/>
        <w:rPr>
          <w:rFonts w:ascii="Book Antiqua" w:eastAsia="Calibri" w:hAnsi="Book Antiqua"/>
          <w:b/>
          <w:bCs/>
          <w:i/>
          <w:iCs/>
        </w:rPr>
      </w:pPr>
      <w:r w:rsidRPr="00AE0A46">
        <w:rPr>
          <w:rFonts w:ascii="Book Antiqua" w:eastAsia="Calibri" w:hAnsi="Book Antiqua"/>
          <w:b/>
          <w:bCs/>
          <w:i/>
          <w:iCs/>
        </w:rPr>
        <w:t xml:space="preserve">Par ziņojuma iesniegšanas termiņu obligātā akciju atpirkšanas piedāvājuma gadījumā </w:t>
      </w:r>
    </w:p>
    <w:p w14:paraId="0502FA35" w14:textId="7D409B0F" w:rsidR="00236DD6" w:rsidRDefault="00236DD6" w:rsidP="00064023">
      <w:pPr>
        <w:spacing w:after="120" w:line="259" w:lineRule="auto"/>
        <w:ind w:firstLine="567"/>
        <w:jc w:val="both"/>
        <w:rPr>
          <w:rFonts w:ascii="Book Antiqua" w:eastAsia="Calibri" w:hAnsi="Book Antiqua"/>
        </w:rPr>
      </w:pPr>
      <w:r>
        <w:rPr>
          <w:rFonts w:ascii="Book Antiqua" w:eastAsia="Calibri" w:hAnsi="Book Antiqua"/>
        </w:rPr>
        <w:t xml:space="preserve">Ņemot vērā, ka saskaņā ar izziņu nav panākta vienošanās par manu iepriekš sniegto priekšlikumu par ziņojuma iesniegšanas termiņu obligātā akciju atpirkšanas piedāvājuma gadījumā, ar šo atkārtoti iesniedzu šādu priekšlikumu. </w:t>
      </w:r>
    </w:p>
    <w:p w14:paraId="7CB0BB76" w14:textId="152B0D6D" w:rsidR="00D55219" w:rsidRDefault="00F1777C" w:rsidP="00064023">
      <w:pPr>
        <w:spacing w:after="120" w:line="259" w:lineRule="auto"/>
        <w:ind w:firstLine="567"/>
        <w:jc w:val="both"/>
        <w:rPr>
          <w:rFonts w:ascii="Book Antiqua" w:eastAsia="Calibri" w:hAnsi="Book Antiqua"/>
        </w:rPr>
      </w:pPr>
      <w:r>
        <w:rPr>
          <w:rFonts w:ascii="Book Antiqua" w:eastAsia="Calibri" w:hAnsi="Book Antiqua"/>
        </w:rPr>
        <w:t xml:space="preserve">Atbilstoši </w:t>
      </w:r>
      <w:r w:rsidR="00236DD6">
        <w:rPr>
          <w:rFonts w:ascii="Book Antiqua" w:eastAsia="Calibri" w:hAnsi="Book Antiqua"/>
        </w:rPr>
        <w:t>L</w:t>
      </w:r>
      <w:r>
        <w:rPr>
          <w:rFonts w:ascii="Book Antiqua" w:eastAsia="Calibri" w:hAnsi="Book Antiqua"/>
        </w:rPr>
        <w:t>ikuma 15.panta otrajā daļā noteiktajam tirgus dalībniek</w:t>
      </w:r>
      <w:r w:rsidR="001E1EEA">
        <w:rPr>
          <w:rFonts w:ascii="Book Antiqua" w:eastAsia="Calibri" w:hAnsi="Book Antiqua"/>
        </w:rPr>
        <w:t xml:space="preserve">iem, kuri apvienojas kādā no minētā panta pirmajā daļā noteiktajiem veidiem, ir pienākums </w:t>
      </w:r>
      <w:r w:rsidR="001E1EEA" w:rsidRPr="001E1EEA">
        <w:rPr>
          <w:rFonts w:ascii="Book Antiqua" w:eastAsia="Calibri" w:hAnsi="Book Antiqua"/>
          <w:b/>
          <w:bCs/>
          <w:i/>
          <w:iCs/>
        </w:rPr>
        <w:t>pirms</w:t>
      </w:r>
      <w:r w:rsidR="001E1EEA">
        <w:rPr>
          <w:rFonts w:ascii="Book Antiqua" w:eastAsia="Calibri" w:hAnsi="Book Antiqua"/>
        </w:rPr>
        <w:t xml:space="preserve"> apvienošanās iesniegt </w:t>
      </w:r>
      <w:r w:rsidR="00236DD6">
        <w:rPr>
          <w:rFonts w:ascii="Book Antiqua" w:eastAsia="Calibri" w:hAnsi="Book Antiqua"/>
        </w:rPr>
        <w:t>P</w:t>
      </w:r>
      <w:r w:rsidR="001E1EEA">
        <w:rPr>
          <w:rFonts w:ascii="Book Antiqua" w:eastAsia="Calibri" w:hAnsi="Book Antiqua"/>
        </w:rPr>
        <w:t xml:space="preserve">adomei ziņojumu par apvienošanos. </w:t>
      </w:r>
    </w:p>
    <w:p w14:paraId="5A72A12A" w14:textId="04400EEB" w:rsidR="00F7782F" w:rsidRDefault="001E1EEA" w:rsidP="00064023">
      <w:pPr>
        <w:spacing w:after="120" w:line="259" w:lineRule="auto"/>
        <w:ind w:firstLine="567"/>
        <w:jc w:val="both"/>
        <w:rPr>
          <w:rFonts w:ascii="Book Antiqua" w:eastAsia="Calibri" w:hAnsi="Book Antiqua"/>
        </w:rPr>
      </w:pPr>
      <w:r>
        <w:rPr>
          <w:rFonts w:ascii="Book Antiqua" w:eastAsia="Calibri" w:hAnsi="Book Antiqua"/>
        </w:rPr>
        <w:t xml:space="preserve">Vēršu uzmanību, ka </w:t>
      </w:r>
      <w:r w:rsidR="00236DD6">
        <w:rPr>
          <w:rFonts w:ascii="Book Antiqua" w:eastAsia="Calibri" w:hAnsi="Book Antiqua"/>
        </w:rPr>
        <w:t>L</w:t>
      </w:r>
      <w:r>
        <w:rPr>
          <w:rFonts w:ascii="Book Antiqua" w:eastAsia="Calibri" w:hAnsi="Book Antiqua"/>
        </w:rPr>
        <w:t>ikumā būtu nepieciešams iekļaut atsevišķu un no vispārējās kārtības atšķirīgu regulējumu par ziņojuma iesniegšanas pienākum</w:t>
      </w:r>
      <w:r w:rsidR="00A76DB4">
        <w:rPr>
          <w:rFonts w:ascii="Book Antiqua" w:eastAsia="Calibri" w:hAnsi="Book Antiqua"/>
        </w:rPr>
        <w:t xml:space="preserve">a brīdi gadījumos, kad </w:t>
      </w:r>
      <w:r w:rsidR="00236DD6">
        <w:rPr>
          <w:rFonts w:ascii="Book Antiqua" w:eastAsia="Calibri" w:hAnsi="Book Antiqua"/>
        </w:rPr>
        <w:t>L</w:t>
      </w:r>
      <w:r w:rsidR="00A76DB4">
        <w:rPr>
          <w:rFonts w:ascii="Book Antiqua" w:eastAsia="Calibri" w:hAnsi="Book Antiqua"/>
        </w:rPr>
        <w:t xml:space="preserve">ikuma 15.panta pirmajā daļā regulētā tirgus dalībnieku apvienošanās notiek </w:t>
      </w:r>
      <w:r w:rsidR="00FC245E">
        <w:rPr>
          <w:rFonts w:ascii="Book Antiqua" w:eastAsia="Calibri" w:hAnsi="Book Antiqua"/>
        </w:rPr>
        <w:t xml:space="preserve">Finanšu instrumentu tirgus likumā regulētā obligātā akciju atpirkšanas piedāvājuma rezultātā. </w:t>
      </w:r>
    </w:p>
    <w:p w14:paraId="75C58A1E" w14:textId="77777777" w:rsidR="00D05A82" w:rsidRDefault="00F7782F" w:rsidP="00064023">
      <w:pPr>
        <w:spacing w:after="120" w:line="259" w:lineRule="auto"/>
        <w:ind w:firstLine="567"/>
        <w:jc w:val="both"/>
        <w:rPr>
          <w:rFonts w:ascii="Book Antiqua" w:eastAsia="Calibri" w:hAnsi="Book Antiqua"/>
        </w:rPr>
      </w:pPr>
      <w:r>
        <w:rPr>
          <w:rFonts w:ascii="Book Antiqua" w:eastAsia="Calibri" w:hAnsi="Book Antiqua"/>
        </w:rPr>
        <w:t>Proti, atbilstoši Finanšu instrumentu tirgus likuma 66.panta pirmās daļas 1.punktā un minētā panta ceturtā</w:t>
      </w:r>
      <w:r w:rsidR="00AF11A3">
        <w:rPr>
          <w:rFonts w:ascii="Book Antiqua" w:eastAsia="Calibri" w:hAnsi="Book Antiqua"/>
        </w:rPr>
        <w:t>s</w:t>
      </w:r>
      <w:r>
        <w:rPr>
          <w:rFonts w:ascii="Book Antiqua" w:eastAsia="Calibri" w:hAnsi="Book Antiqua"/>
        </w:rPr>
        <w:t xml:space="preserve"> daļ</w:t>
      </w:r>
      <w:r w:rsidR="00AF11A3">
        <w:rPr>
          <w:rFonts w:ascii="Book Antiqua" w:eastAsia="Calibri" w:hAnsi="Book Antiqua"/>
        </w:rPr>
        <w:t>as 1.punktā</w:t>
      </w:r>
      <w:r>
        <w:rPr>
          <w:rFonts w:ascii="Book Antiqua" w:eastAsia="Calibri" w:hAnsi="Book Antiqua"/>
        </w:rPr>
        <w:t xml:space="preserve"> noteiktajam </w:t>
      </w:r>
      <w:r w:rsidR="00AF11A3">
        <w:rPr>
          <w:rFonts w:ascii="Book Antiqua" w:eastAsia="Calibri" w:hAnsi="Book Antiqua"/>
        </w:rPr>
        <w:t xml:space="preserve">fiziskajām personām, tieši vai netieši iegūstot </w:t>
      </w:r>
      <w:r w:rsidR="00E460EF">
        <w:rPr>
          <w:rFonts w:ascii="Book Antiqua" w:eastAsia="Calibri" w:hAnsi="Book Antiqua"/>
        </w:rPr>
        <w:t xml:space="preserve">no </w:t>
      </w:r>
      <w:r w:rsidR="00AF11A3" w:rsidRPr="00AF11A3">
        <w:rPr>
          <w:rFonts w:ascii="Book Antiqua" w:eastAsia="Calibri" w:hAnsi="Book Antiqua"/>
        </w:rPr>
        <w:t>akcijām izrietošās balsstiesības tādā daudzumā, ka šo personu</w:t>
      </w:r>
      <w:r w:rsidR="000A18A0">
        <w:rPr>
          <w:rFonts w:ascii="Book Antiqua" w:eastAsia="Calibri" w:hAnsi="Book Antiqua"/>
        </w:rPr>
        <w:t xml:space="preserve"> (turpmāk – Personas)</w:t>
      </w:r>
      <w:r w:rsidR="00AF11A3" w:rsidRPr="00AF11A3">
        <w:rPr>
          <w:rFonts w:ascii="Book Antiqua" w:eastAsia="Calibri" w:hAnsi="Book Antiqua"/>
        </w:rPr>
        <w:t xml:space="preserve"> balsstiesības sasniedz vai pārsniedz 30 procentus no akciju sabiedrības balsstiesīgo akciju kopskaita</w:t>
      </w:r>
      <w:r w:rsidR="00E835B1">
        <w:rPr>
          <w:rFonts w:ascii="Book Antiqua" w:eastAsia="Calibri" w:hAnsi="Book Antiqua"/>
        </w:rPr>
        <w:t xml:space="preserve">, ir </w:t>
      </w:r>
      <w:r w:rsidR="00E460EF">
        <w:rPr>
          <w:rFonts w:ascii="Book Antiqua" w:eastAsia="Calibri" w:hAnsi="Book Antiqua"/>
        </w:rPr>
        <w:t>obligāti jā</w:t>
      </w:r>
      <w:r w:rsidR="00E835B1">
        <w:rPr>
          <w:rFonts w:ascii="Book Antiqua" w:eastAsia="Calibri" w:hAnsi="Book Antiqua"/>
        </w:rPr>
        <w:t>iz</w:t>
      </w:r>
      <w:r w:rsidR="00E460EF">
        <w:rPr>
          <w:rFonts w:ascii="Book Antiqua" w:eastAsia="Calibri" w:hAnsi="Book Antiqua"/>
        </w:rPr>
        <w:t>saka c</w:t>
      </w:r>
      <w:r w:rsidR="00E460EF" w:rsidRPr="00E460EF">
        <w:rPr>
          <w:rFonts w:ascii="Book Antiqua" w:eastAsia="Calibri" w:hAnsi="Book Antiqua"/>
        </w:rPr>
        <w:t>itiem akcionāriem adresēt</w:t>
      </w:r>
      <w:r w:rsidR="00E460EF">
        <w:rPr>
          <w:rFonts w:ascii="Book Antiqua" w:eastAsia="Calibri" w:hAnsi="Book Antiqua"/>
        </w:rPr>
        <w:t>s</w:t>
      </w:r>
      <w:r w:rsidR="00E460EF" w:rsidRPr="00E460EF">
        <w:rPr>
          <w:rFonts w:ascii="Book Antiqua" w:eastAsia="Calibri" w:hAnsi="Book Antiqua"/>
        </w:rPr>
        <w:t xml:space="preserve"> piedāvājum</w:t>
      </w:r>
      <w:r w:rsidR="00E460EF">
        <w:rPr>
          <w:rFonts w:ascii="Book Antiqua" w:eastAsia="Calibri" w:hAnsi="Book Antiqua"/>
        </w:rPr>
        <w:t>s</w:t>
      </w:r>
      <w:r w:rsidR="00E460EF" w:rsidRPr="00E460EF">
        <w:rPr>
          <w:rFonts w:ascii="Book Antiqua" w:eastAsia="Calibri" w:hAnsi="Book Antiqua"/>
        </w:rPr>
        <w:t xml:space="preserve"> atpirkt tiem piederošās akcijas</w:t>
      </w:r>
      <w:r w:rsidR="00E460EF">
        <w:rPr>
          <w:rFonts w:ascii="Book Antiqua" w:eastAsia="Calibri" w:hAnsi="Book Antiqua"/>
        </w:rPr>
        <w:t>.</w:t>
      </w:r>
      <w:r w:rsidR="0092059E">
        <w:rPr>
          <w:rFonts w:ascii="Book Antiqua" w:eastAsia="Calibri" w:hAnsi="Book Antiqua"/>
        </w:rPr>
        <w:t xml:space="preserve"> Pēc Finanšu un kapitāla tirgus komisijas atļaujas saņemšanas un obligātā akciju atpirkšanas piedāvājuma izteikšanas pārējiem akcionāriem ir tiesības 30 dienu laikā izmantot šo piedāvājumu un pārdot </w:t>
      </w:r>
      <w:r w:rsidR="000A18A0">
        <w:rPr>
          <w:rFonts w:ascii="Book Antiqua" w:eastAsia="Calibri" w:hAnsi="Book Antiqua"/>
        </w:rPr>
        <w:t xml:space="preserve">Personām </w:t>
      </w:r>
      <w:r w:rsidR="0092059E">
        <w:rPr>
          <w:rFonts w:ascii="Book Antiqua" w:eastAsia="Calibri" w:hAnsi="Book Antiqua"/>
        </w:rPr>
        <w:t>akcijas</w:t>
      </w:r>
      <w:r w:rsidR="000A18A0">
        <w:rPr>
          <w:rFonts w:ascii="Book Antiqua" w:eastAsia="Calibri" w:hAnsi="Book Antiqua"/>
        </w:rPr>
        <w:t xml:space="preserve"> obligātā akciju atpirkšanas piedāvājuma laikā</w:t>
      </w:r>
      <w:r w:rsidR="0092059E">
        <w:rPr>
          <w:rFonts w:ascii="Book Antiqua" w:eastAsia="Calibri" w:hAnsi="Book Antiqua"/>
        </w:rPr>
        <w:t>.</w:t>
      </w:r>
      <w:r w:rsidR="00D05A82">
        <w:rPr>
          <w:rFonts w:ascii="Book Antiqua" w:eastAsia="Calibri" w:hAnsi="Book Antiqua"/>
        </w:rPr>
        <w:t xml:space="preserve"> </w:t>
      </w:r>
    </w:p>
    <w:p w14:paraId="2D4A3CC9" w14:textId="5994FFE4" w:rsidR="00E460EF" w:rsidRDefault="00D05A82" w:rsidP="00064023">
      <w:pPr>
        <w:spacing w:after="120" w:line="259" w:lineRule="auto"/>
        <w:ind w:firstLine="567"/>
        <w:jc w:val="both"/>
        <w:rPr>
          <w:rFonts w:ascii="Book Antiqua" w:eastAsia="Calibri" w:hAnsi="Book Antiqua"/>
        </w:rPr>
      </w:pPr>
      <w:r>
        <w:rPr>
          <w:rFonts w:ascii="Book Antiqua" w:eastAsia="Calibri" w:hAnsi="Book Antiqua"/>
        </w:rPr>
        <w:t xml:space="preserve">Pārējie akcionāri var arī nepārdot Personām akcijas obligātā akciju atpirkšanas piedāvājuma laikā. Tāpēc tikai pēc obligātā akciju atpirkšanas piedāvājuma termiņa beigām </w:t>
      </w:r>
      <w:r w:rsidR="000051EB">
        <w:rPr>
          <w:rFonts w:ascii="Book Antiqua" w:eastAsia="Calibri" w:hAnsi="Book Antiqua"/>
        </w:rPr>
        <w:t>Personas uzzina, cik akcijas t</w:t>
      </w:r>
      <w:r w:rsidR="007535B0">
        <w:rPr>
          <w:rFonts w:ascii="Book Antiqua" w:eastAsia="Calibri" w:hAnsi="Book Antiqua"/>
        </w:rPr>
        <w:t>ās</w:t>
      </w:r>
      <w:r w:rsidR="000051EB">
        <w:rPr>
          <w:rFonts w:ascii="Book Antiqua" w:eastAsia="Calibri" w:hAnsi="Book Antiqua"/>
        </w:rPr>
        <w:t xml:space="preserve"> būs iegādājuš</w:t>
      </w:r>
      <w:r w:rsidR="009127AF">
        <w:rPr>
          <w:rFonts w:ascii="Book Antiqua" w:eastAsia="Calibri" w:hAnsi="Book Antiqua"/>
        </w:rPr>
        <w:t>ā</w:t>
      </w:r>
      <w:r w:rsidR="000051EB">
        <w:rPr>
          <w:rFonts w:ascii="Book Antiqua" w:eastAsia="Calibri" w:hAnsi="Book Antiqua"/>
        </w:rPr>
        <w:t xml:space="preserve">s obligātā akciju atpirkšanas piedāvājuma laikā, jo iegādājamo akciju skaits ir atkarīgs tikai </w:t>
      </w:r>
      <w:r w:rsidR="00E7764B">
        <w:rPr>
          <w:rFonts w:ascii="Book Antiqua" w:eastAsia="Calibri" w:hAnsi="Book Antiqua"/>
        </w:rPr>
        <w:t xml:space="preserve">no </w:t>
      </w:r>
      <w:r w:rsidR="000051EB">
        <w:rPr>
          <w:rFonts w:ascii="Book Antiqua" w:eastAsia="Calibri" w:hAnsi="Book Antiqua"/>
        </w:rPr>
        <w:t xml:space="preserve">pārējo akcionāru individuālajiem lēmumiem tās pārdot. </w:t>
      </w:r>
    </w:p>
    <w:p w14:paraId="497A85C0" w14:textId="276D680A" w:rsidR="000051EB" w:rsidRDefault="000051EB" w:rsidP="00064023">
      <w:pPr>
        <w:spacing w:after="120" w:line="259" w:lineRule="auto"/>
        <w:ind w:firstLine="567"/>
        <w:jc w:val="both"/>
        <w:rPr>
          <w:rFonts w:ascii="Book Antiqua" w:eastAsia="Calibri" w:hAnsi="Book Antiqua"/>
        </w:rPr>
      </w:pPr>
      <w:r>
        <w:rPr>
          <w:rFonts w:ascii="Book Antiqua" w:eastAsia="Calibri" w:hAnsi="Book Antiqua"/>
        </w:rPr>
        <w:t xml:space="preserve">Ja obligātā akciju atpirkšanas piedāvājuma rezultātā Personas iegādājas tādu akciju skaitu, kas kopā ar iepriekš </w:t>
      </w:r>
      <w:r w:rsidR="00254DD3">
        <w:rPr>
          <w:rFonts w:ascii="Book Antiqua" w:eastAsia="Calibri" w:hAnsi="Book Antiqua"/>
        </w:rPr>
        <w:t xml:space="preserve">iegūtajām balsstiesībām uzskatāma par apvienošanos </w:t>
      </w:r>
      <w:r w:rsidR="00236DD6">
        <w:rPr>
          <w:rFonts w:ascii="Book Antiqua" w:eastAsia="Calibri" w:hAnsi="Book Antiqua"/>
        </w:rPr>
        <w:t>L</w:t>
      </w:r>
      <w:r w:rsidR="00254DD3">
        <w:rPr>
          <w:rFonts w:ascii="Book Antiqua" w:eastAsia="Calibri" w:hAnsi="Book Antiqua"/>
        </w:rPr>
        <w:t xml:space="preserve">ikuma 15.panta </w:t>
      </w:r>
      <w:r w:rsidR="00254DD3">
        <w:rPr>
          <w:rFonts w:ascii="Book Antiqua" w:eastAsia="Calibri" w:hAnsi="Book Antiqua"/>
        </w:rPr>
        <w:lastRenderedPageBreak/>
        <w:t xml:space="preserve">pirmās daļas izpratnē, tad </w:t>
      </w:r>
      <w:r w:rsidR="00E7764B">
        <w:rPr>
          <w:rFonts w:ascii="Book Antiqua" w:eastAsia="Calibri" w:hAnsi="Book Antiqua"/>
        </w:rPr>
        <w:t xml:space="preserve">Personām, ja izpildās </w:t>
      </w:r>
      <w:r w:rsidR="00236DD6">
        <w:rPr>
          <w:rFonts w:ascii="Book Antiqua" w:eastAsia="Calibri" w:hAnsi="Book Antiqua"/>
        </w:rPr>
        <w:t>L</w:t>
      </w:r>
      <w:r w:rsidR="00E7764B">
        <w:rPr>
          <w:rFonts w:ascii="Book Antiqua" w:eastAsia="Calibri" w:hAnsi="Book Antiqua"/>
        </w:rPr>
        <w:t xml:space="preserve">ikuma 15.panta otrajā daļā noteiktie kritēriji, ir pienākums </w:t>
      </w:r>
      <w:r w:rsidR="00E7764B" w:rsidRPr="00E7764B">
        <w:rPr>
          <w:rFonts w:ascii="Book Antiqua" w:eastAsia="Calibri" w:hAnsi="Book Antiqua"/>
          <w:b/>
          <w:bCs/>
          <w:i/>
          <w:iCs/>
        </w:rPr>
        <w:t>pirms</w:t>
      </w:r>
      <w:r w:rsidR="00E7764B">
        <w:rPr>
          <w:rFonts w:ascii="Book Antiqua" w:eastAsia="Calibri" w:hAnsi="Book Antiqua"/>
        </w:rPr>
        <w:t xml:space="preserve"> izšķirošas ietekmes iegūšanas iesniegt </w:t>
      </w:r>
      <w:r w:rsidR="00236DD6">
        <w:rPr>
          <w:rFonts w:ascii="Book Antiqua" w:eastAsia="Calibri" w:hAnsi="Book Antiqua"/>
        </w:rPr>
        <w:t>P</w:t>
      </w:r>
      <w:r w:rsidR="00E7764B">
        <w:rPr>
          <w:rFonts w:ascii="Book Antiqua" w:eastAsia="Calibri" w:hAnsi="Book Antiqua"/>
        </w:rPr>
        <w:t xml:space="preserve">adomei ziņojumu par apvienošanos. Taču praksē ziņojumu par apvienošanos obligātā akciju atpirkšanas piedāvājuma laikā nav iespējams iesniegt </w:t>
      </w:r>
      <w:r w:rsidR="00E7764B" w:rsidRPr="009B38E2">
        <w:rPr>
          <w:rFonts w:ascii="Book Antiqua" w:eastAsia="Calibri" w:hAnsi="Book Antiqua"/>
          <w:b/>
          <w:bCs/>
          <w:i/>
          <w:iCs/>
        </w:rPr>
        <w:t xml:space="preserve">pirms </w:t>
      </w:r>
      <w:r w:rsidR="00E7764B">
        <w:rPr>
          <w:rFonts w:ascii="Book Antiqua" w:eastAsia="Calibri" w:hAnsi="Book Antiqua"/>
        </w:rPr>
        <w:t xml:space="preserve">izšķirošas ietekmes iegūšanas – to, cik akcijas Personas iegādāsies obligātā akciju atpirkšanas piedāvājuma rezultātā un vai iegūs izšķirošu ietekmi, Personas uzzinās jau pēc tam, kad izšķiroša ietekme būs iegūta jeb </w:t>
      </w:r>
      <w:r w:rsidR="00E7764B">
        <w:rPr>
          <w:rFonts w:ascii="Book Antiqua" w:eastAsia="Calibri" w:hAnsi="Book Antiqua"/>
          <w:i/>
          <w:iCs/>
        </w:rPr>
        <w:t xml:space="preserve">post </w:t>
      </w:r>
      <w:proofErr w:type="spellStart"/>
      <w:r w:rsidR="00E7764B">
        <w:rPr>
          <w:rFonts w:ascii="Book Antiqua" w:eastAsia="Calibri" w:hAnsi="Book Antiqua"/>
          <w:i/>
          <w:iCs/>
        </w:rPr>
        <w:t>factum</w:t>
      </w:r>
      <w:proofErr w:type="spellEnd"/>
      <w:r w:rsidR="008E1709">
        <w:rPr>
          <w:rFonts w:ascii="Book Antiqua" w:eastAsia="Calibri" w:hAnsi="Book Antiqua"/>
        </w:rPr>
        <w:t xml:space="preserve"> (gadījumā, ja tā tiks iegūta).</w:t>
      </w:r>
      <w:r w:rsidR="00B20CD8">
        <w:rPr>
          <w:rFonts w:ascii="Book Antiqua" w:eastAsia="Calibri" w:hAnsi="Book Antiqua"/>
        </w:rPr>
        <w:t xml:space="preserve"> Šādā gadījumā Person</w:t>
      </w:r>
      <w:r w:rsidR="000C178A">
        <w:rPr>
          <w:rFonts w:ascii="Book Antiqua" w:eastAsia="Calibri" w:hAnsi="Book Antiqua"/>
        </w:rPr>
        <w:t>ām</w:t>
      </w:r>
      <w:r w:rsidR="00B20CD8">
        <w:rPr>
          <w:rFonts w:ascii="Book Antiqua" w:eastAsia="Calibri" w:hAnsi="Book Antiqua"/>
        </w:rPr>
        <w:t xml:space="preserve"> n</w:t>
      </w:r>
      <w:r w:rsidR="000C178A">
        <w:rPr>
          <w:rFonts w:ascii="Book Antiqua" w:eastAsia="Calibri" w:hAnsi="Book Antiqua"/>
        </w:rPr>
        <w:t xml:space="preserve">av iespējams </w:t>
      </w:r>
      <w:r w:rsidR="00B20CD8">
        <w:rPr>
          <w:rFonts w:ascii="Book Antiqua" w:eastAsia="Calibri" w:hAnsi="Book Antiqua"/>
        </w:rPr>
        <w:t xml:space="preserve">ievērot </w:t>
      </w:r>
      <w:r w:rsidR="00236DD6">
        <w:rPr>
          <w:rFonts w:ascii="Book Antiqua" w:eastAsia="Calibri" w:hAnsi="Book Antiqua"/>
        </w:rPr>
        <w:t>L</w:t>
      </w:r>
      <w:r w:rsidR="00B20CD8">
        <w:rPr>
          <w:rFonts w:ascii="Book Antiqua" w:eastAsia="Calibri" w:hAnsi="Book Antiqua"/>
        </w:rPr>
        <w:t>ikuma 15.panta otrajā daļā noteikto ziņojuma par apvienošanos iesniegšanas termiņu</w:t>
      </w:r>
      <w:r w:rsidR="009127AF">
        <w:rPr>
          <w:rFonts w:ascii="Book Antiqua" w:eastAsia="Calibri" w:hAnsi="Book Antiqua"/>
        </w:rPr>
        <w:t xml:space="preserve"> – pirms apvienošanās</w:t>
      </w:r>
      <w:r w:rsidR="00B20CD8">
        <w:rPr>
          <w:rFonts w:ascii="Book Antiqua" w:eastAsia="Calibri" w:hAnsi="Book Antiqua"/>
        </w:rPr>
        <w:t xml:space="preserve">. </w:t>
      </w:r>
      <w:r w:rsidR="000C178A">
        <w:rPr>
          <w:rFonts w:ascii="Book Antiqua" w:eastAsia="Calibri" w:hAnsi="Book Antiqua"/>
        </w:rPr>
        <w:t xml:space="preserve">Savukārt par ziņojuma neiesniegšanu un </w:t>
      </w:r>
      <w:r w:rsidR="00236DD6">
        <w:rPr>
          <w:rFonts w:ascii="Book Antiqua" w:eastAsia="Calibri" w:hAnsi="Book Antiqua"/>
        </w:rPr>
        <w:t>P</w:t>
      </w:r>
      <w:r w:rsidR="000C178A">
        <w:rPr>
          <w:rFonts w:ascii="Book Antiqua" w:eastAsia="Calibri" w:hAnsi="Book Antiqua"/>
        </w:rPr>
        <w:t xml:space="preserve">adomes atļaujas nesaņemšanu pirms apvienošanās tirgus dalībniekiem, kuri apvienojušies, var tikt piemērots naudas sods līdz pat 3% no to iepriekšējā finanšu gada apgrozījuma. </w:t>
      </w:r>
    </w:p>
    <w:p w14:paraId="08177A6E" w14:textId="6A8FD146" w:rsidR="00CF3C13" w:rsidRDefault="00B20CD8" w:rsidP="00064023">
      <w:pPr>
        <w:spacing w:after="120" w:line="259" w:lineRule="auto"/>
        <w:ind w:firstLine="567"/>
        <w:jc w:val="both"/>
        <w:rPr>
          <w:rFonts w:ascii="Book Antiqua" w:eastAsia="Calibri" w:hAnsi="Book Antiqua"/>
        </w:rPr>
      </w:pPr>
      <w:r>
        <w:rPr>
          <w:rFonts w:ascii="Book Antiqua" w:eastAsia="Calibri" w:hAnsi="Book Antiqua"/>
        </w:rPr>
        <w:t xml:space="preserve">Ievērojot minēto, aicinu </w:t>
      </w:r>
      <w:r w:rsidR="00AB784E">
        <w:rPr>
          <w:rFonts w:ascii="Book Antiqua" w:eastAsia="Calibri" w:hAnsi="Book Antiqua"/>
        </w:rPr>
        <w:t>papildināt</w:t>
      </w:r>
      <w:r>
        <w:rPr>
          <w:rFonts w:ascii="Book Antiqua" w:eastAsia="Calibri" w:hAnsi="Book Antiqua"/>
        </w:rPr>
        <w:t xml:space="preserve"> Likumprojekt</w:t>
      </w:r>
      <w:r w:rsidR="00AB784E">
        <w:rPr>
          <w:rFonts w:ascii="Book Antiqua" w:eastAsia="Calibri" w:hAnsi="Book Antiqua"/>
        </w:rPr>
        <w:t xml:space="preserve">u ar grozījumiem </w:t>
      </w:r>
      <w:r w:rsidR="00236DD6">
        <w:rPr>
          <w:rFonts w:ascii="Book Antiqua" w:eastAsia="Calibri" w:hAnsi="Book Antiqua"/>
        </w:rPr>
        <w:t>L</w:t>
      </w:r>
      <w:r w:rsidR="00AB784E">
        <w:rPr>
          <w:rFonts w:ascii="Book Antiqua" w:eastAsia="Calibri" w:hAnsi="Book Antiqua"/>
        </w:rPr>
        <w:t>ikuma 15.pantā, lai</w:t>
      </w:r>
      <w:r>
        <w:rPr>
          <w:rFonts w:ascii="Book Antiqua" w:eastAsia="Calibri" w:hAnsi="Book Antiqua"/>
        </w:rPr>
        <w:t xml:space="preserve"> </w:t>
      </w:r>
      <w:r w:rsidR="000C178A">
        <w:rPr>
          <w:rFonts w:ascii="Book Antiqua" w:eastAsia="Calibri" w:hAnsi="Book Antiqua"/>
        </w:rPr>
        <w:t xml:space="preserve">noregulētu jautājumu par ziņojuma par apvienošanos iesniegšanas brīdi gadījumā, kad apvienošanās notiek </w:t>
      </w:r>
      <w:r w:rsidR="00C65131">
        <w:rPr>
          <w:rFonts w:ascii="Book Antiqua" w:eastAsia="Calibri" w:hAnsi="Book Antiqua"/>
        </w:rPr>
        <w:t xml:space="preserve">finanšu instrumentu tirgus normatīvā regulējuma ietvaros, izsakot </w:t>
      </w:r>
      <w:r w:rsidR="000C178A">
        <w:rPr>
          <w:rFonts w:ascii="Book Antiqua" w:eastAsia="Calibri" w:hAnsi="Book Antiqua"/>
        </w:rPr>
        <w:t>obligāt</w:t>
      </w:r>
      <w:r w:rsidR="00C65131">
        <w:rPr>
          <w:rFonts w:ascii="Book Antiqua" w:eastAsia="Calibri" w:hAnsi="Book Antiqua"/>
        </w:rPr>
        <w:t>o</w:t>
      </w:r>
      <w:r w:rsidR="000C178A">
        <w:rPr>
          <w:rFonts w:ascii="Book Antiqua" w:eastAsia="Calibri" w:hAnsi="Book Antiqua"/>
        </w:rPr>
        <w:t xml:space="preserve"> akciju atpirkšanas piedāvājum</w:t>
      </w:r>
      <w:r w:rsidR="00C65131">
        <w:rPr>
          <w:rFonts w:ascii="Book Antiqua" w:eastAsia="Calibri" w:hAnsi="Book Antiqua"/>
        </w:rPr>
        <w:t xml:space="preserve">u. </w:t>
      </w:r>
      <w:r w:rsidR="000C178A">
        <w:rPr>
          <w:rFonts w:ascii="Book Antiqua" w:eastAsia="Calibri" w:hAnsi="Book Antiqua"/>
        </w:rPr>
        <w:t xml:space="preserve">Proti, lūdzu, </w:t>
      </w:r>
      <w:r w:rsidR="00236DD6">
        <w:rPr>
          <w:rFonts w:ascii="Book Antiqua" w:eastAsia="Calibri" w:hAnsi="Book Antiqua"/>
        </w:rPr>
        <w:t>Li</w:t>
      </w:r>
      <w:r w:rsidR="000C178A">
        <w:rPr>
          <w:rFonts w:ascii="Book Antiqua" w:eastAsia="Calibri" w:hAnsi="Book Antiqua"/>
        </w:rPr>
        <w:t xml:space="preserve">kuma </w:t>
      </w:r>
      <w:r>
        <w:rPr>
          <w:rFonts w:ascii="Book Antiqua" w:eastAsia="Calibri" w:hAnsi="Book Antiqua"/>
        </w:rPr>
        <w:t>15.pant</w:t>
      </w:r>
      <w:r w:rsidR="00C205C2">
        <w:rPr>
          <w:rFonts w:ascii="Book Antiqua" w:eastAsia="Calibri" w:hAnsi="Book Antiqua"/>
        </w:rPr>
        <w:t xml:space="preserve">u </w:t>
      </w:r>
      <w:r w:rsidR="000C178A">
        <w:rPr>
          <w:rFonts w:ascii="Book Antiqua" w:eastAsia="Calibri" w:hAnsi="Book Antiqua"/>
        </w:rPr>
        <w:t>papildināt</w:t>
      </w:r>
      <w:r>
        <w:rPr>
          <w:rFonts w:ascii="Book Antiqua" w:eastAsia="Calibri" w:hAnsi="Book Antiqua"/>
        </w:rPr>
        <w:t xml:space="preserve"> ar izņēmuma nosacījumu, ka situācijā, kad</w:t>
      </w:r>
      <w:r w:rsidR="00CF3C13">
        <w:rPr>
          <w:rFonts w:ascii="Book Antiqua" w:eastAsia="Calibri" w:hAnsi="Book Antiqua"/>
        </w:rPr>
        <w:t xml:space="preserve"> finanšu instrumentu tirgus normatīvā regulējuma ietvaros</w:t>
      </w:r>
      <w:r>
        <w:rPr>
          <w:rFonts w:ascii="Book Antiqua" w:eastAsia="Calibri" w:hAnsi="Book Antiqua"/>
        </w:rPr>
        <w:t xml:space="preserve"> </w:t>
      </w:r>
      <w:r w:rsidR="00CF3C13">
        <w:rPr>
          <w:rFonts w:ascii="Book Antiqua" w:eastAsia="Calibri" w:hAnsi="Book Antiqua"/>
        </w:rPr>
        <w:t xml:space="preserve">tiek </w:t>
      </w:r>
      <w:r>
        <w:rPr>
          <w:rFonts w:ascii="Book Antiqua" w:eastAsia="Calibri" w:hAnsi="Book Antiqua"/>
        </w:rPr>
        <w:t>iz</w:t>
      </w:r>
      <w:r w:rsidR="00CF3C13">
        <w:rPr>
          <w:rFonts w:ascii="Book Antiqua" w:eastAsia="Calibri" w:hAnsi="Book Antiqua"/>
        </w:rPr>
        <w:t xml:space="preserve">teikts </w:t>
      </w:r>
      <w:r>
        <w:rPr>
          <w:rFonts w:ascii="Book Antiqua" w:eastAsia="Calibri" w:hAnsi="Book Antiqua"/>
        </w:rPr>
        <w:t>obligāt</w:t>
      </w:r>
      <w:r w:rsidR="009E0D27">
        <w:rPr>
          <w:rFonts w:ascii="Book Antiqua" w:eastAsia="Calibri" w:hAnsi="Book Antiqua"/>
        </w:rPr>
        <w:t>ais</w:t>
      </w:r>
      <w:r>
        <w:rPr>
          <w:rFonts w:ascii="Book Antiqua" w:eastAsia="Calibri" w:hAnsi="Book Antiqua"/>
        </w:rPr>
        <w:t xml:space="preserve"> akciju atpirkšanas piedāvājum</w:t>
      </w:r>
      <w:r w:rsidR="009E0D27">
        <w:rPr>
          <w:rFonts w:ascii="Book Antiqua" w:eastAsia="Calibri" w:hAnsi="Book Antiqua"/>
        </w:rPr>
        <w:t>s</w:t>
      </w:r>
      <w:r>
        <w:rPr>
          <w:rFonts w:ascii="Book Antiqua" w:eastAsia="Calibri" w:hAnsi="Book Antiqua"/>
        </w:rPr>
        <w:t xml:space="preserve"> </w:t>
      </w:r>
      <w:r w:rsidR="00F137B2">
        <w:rPr>
          <w:rFonts w:ascii="Book Antiqua" w:eastAsia="Calibri" w:hAnsi="Book Antiqua"/>
        </w:rPr>
        <w:t xml:space="preserve">un tā rezultātā iestājas Konkurences likuma 15.panta pirmajā daļā regulētais tirgus dalībnieku apvienošanās gadījums, ziņojums par apvienošanos iesniedzams 45 dienu laikā no dienas, kad pēc obligātā akciju atpirkšanas piedāvājuma termiņa beigām ir apkopoti obligātā akciju atpirkšanas piedāvājuma rezultāti, un </w:t>
      </w:r>
      <w:r w:rsidR="00CF3C13">
        <w:rPr>
          <w:rFonts w:ascii="Book Antiqua" w:eastAsia="Calibri" w:hAnsi="Book Antiqua"/>
        </w:rPr>
        <w:t xml:space="preserve">to rezultātā konstatēts, ka īstenojies kāds no Konkurences likuma 15.panta pirmajā daļā noteiktajiem tirgus dalībnieku apvienošanās veidiem. </w:t>
      </w:r>
    </w:p>
    <w:p w14:paraId="7A7CF11E" w14:textId="7269E090" w:rsidR="00E460EF" w:rsidRPr="00EE12FC" w:rsidRDefault="00CF3C13" w:rsidP="00064023">
      <w:pPr>
        <w:spacing w:after="120" w:line="259" w:lineRule="auto"/>
        <w:ind w:firstLine="567"/>
        <w:jc w:val="both"/>
        <w:rPr>
          <w:rFonts w:ascii="Book Antiqua" w:eastAsia="Calibri" w:hAnsi="Book Antiqua"/>
          <w:b/>
          <w:bCs/>
          <w:lang w:val="en-GB"/>
        </w:rPr>
      </w:pPr>
      <w:r>
        <w:rPr>
          <w:rFonts w:ascii="Book Antiqua" w:eastAsia="Calibri" w:hAnsi="Book Antiqua"/>
        </w:rPr>
        <w:t xml:space="preserve">Ņemot vērā minēto, </w:t>
      </w:r>
      <w:r w:rsidRPr="00EE12FC">
        <w:rPr>
          <w:rFonts w:ascii="Book Antiqua" w:eastAsia="Calibri" w:hAnsi="Book Antiqua"/>
          <w:b/>
          <w:bCs/>
        </w:rPr>
        <w:t>piedāvāju papildināt Likumprojektu ar jaunu pantu šādā redakcijā:</w:t>
      </w:r>
      <w:r w:rsidRPr="00EE12FC">
        <w:rPr>
          <w:rFonts w:ascii="Book Antiqua" w:eastAsia="Calibri" w:hAnsi="Book Antiqua"/>
          <w:b/>
          <w:bCs/>
          <w:lang w:val="en-GB"/>
        </w:rPr>
        <w:t xml:space="preserve"> </w:t>
      </w:r>
    </w:p>
    <w:p w14:paraId="62D8E920" w14:textId="79C34E30" w:rsidR="00CF3C13" w:rsidRPr="001C0ABB" w:rsidRDefault="00CF3C13" w:rsidP="00064023">
      <w:pPr>
        <w:spacing w:after="120" w:line="259" w:lineRule="auto"/>
        <w:ind w:firstLine="567"/>
        <w:jc w:val="both"/>
        <w:rPr>
          <w:rFonts w:ascii="Book Antiqua" w:eastAsia="Calibri" w:hAnsi="Book Antiqua"/>
          <w:i/>
          <w:iCs/>
        </w:rPr>
      </w:pPr>
      <w:proofErr w:type="spellStart"/>
      <w:r w:rsidRPr="001C0ABB">
        <w:rPr>
          <w:rFonts w:ascii="Book Antiqua" w:eastAsia="Calibri" w:hAnsi="Book Antiqua"/>
          <w:i/>
          <w:iCs/>
          <w:lang w:val="en-GB"/>
        </w:rPr>
        <w:t>Papildin</w:t>
      </w:r>
      <w:r w:rsidRPr="001C0ABB">
        <w:rPr>
          <w:rFonts w:ascii="Book Antiqua" w:eastAsia="Calibri" w:hAnsi="Book Antiqua"/>
          <w:i/>
          <w:iCs/>
        </w:rPr>
        <w:t>āt</w:t>
      </w:r>
      <w:proofErr w:type="spellEnd"/>
      <w:r w:rsidRPr="001C0ABB">
        <w:rPr>
          <w:rFonts w:ascii="Book Antiqua" w:eastAsia="Calibri" w:hAnsi="Book Antiqua"/>
          <w:i/>
          <w:iCs/>
        </w:rPr>
        <w:t xml:space="preserve"> </w:t>
      </w:r>
      <w:proofErr w:type="gramStart"/>
      <w:r w:rsidRPr="001C0ABB">
        <w:rPr>
          <w:rFonts w:ascii="Book Antiqua" w:eastAsia="Calibri" w:hAnsi="Book Antiqua"/>
          <w:i/>
          <w:iCs/>
        </w:rPr>
        <w:t>15.panta</w:t>
      </w:r>
      <w:proofErr w:type="gramEnd"/>
      <w:r w:rsidRPr="001C0ABB">
        <w:rPr>
          <w:rFonts w:ascii="Book Antiqua" w:eastAsia="Calibri" w:hAnsi="Book Antiqua"/>
          <w:i/>
          <w:iCs/>
        </w:rPr>
        <w:t xml:space="preserve"> otro daļu ar otro teikumu šādā redakcijā: </w:t>
      </w:r>
    </w:p>
    <w:p w14:paraId="4428E3ED" w14:textId="317CEAF8" w:rsidR="00C773B0" w:rsidRDefault="00CF3C13" w:rsidP="00064023">
      <w:pPr>
        <w:spacing w:after="120" w:line="259" w:lineRule="auto"/>
        <w:ind w:firstLine="567"/>
        <w:jc w:val="both"/>
        <w:rPr>
          <w:rFonts w:ascii="Book Antiqua" w:eastAsia="Calibri" w:hAnsi="Book Antiqua"/>
          <w:i/>
          <w:iCs/>
        </w:rPr>
      </w:pPr>
      <w:r w:rsidRPr="001A318C">
        <w:rPr>
          <w:rFonts w:ascii="Book Antiqua" w:eastAsia="Calibri" w:hAnsi="Book Antiqua"/>
          <w:i/>
          <w:iCs/>
        </w:rPr>
        <w:t xml:space="preserve">Ja </w:t>
      </w:r>
      <w:r w:rsidR="00C773B0">
        <w:rPr>
          <w:rFonts w:ascii="Book Antiqua" w:eastAsia="Calibri" w:hAnsi="Book Antiqua"/>
          <w:i/>
          <w:iCs/>
        </w:rPr>
        <w:t xml:space="preserve">kāds no šā panta pirmajā daļā minētajiem apvienošanās veidiem īstenojas finanšu instrumentu tirgus normatīvā regulējuma ietvaros izteikta obligātā akciju atpirkšanas piedāvājuma rezultātā, apvienošanās dalībnieki ziņojumu par apvienošanos Konkurences padomei iesniedz 45 dienu laikā </w:t>
      </w:r>
      <w:r w:rsidR="00C773B0" w:rsidRPr="00C773B0">
        <w:rPr>
          <w:rFonts w:ascii="Book Antiqua" w:eastAsia="Calibri" w:hAnsi="Book Antiqua"/>
          <w:i/>
          <w:iCs/>
        </w:rPr>
        <w:t>no dienas, kad pēc obligātā akciju atpirkšanas piedāvājuma termiņa beigām ir apkopoti obligātā akciju atpirkšanas piedāvājuma rezultāti, un to rezultātā konstatēts, ka īstenojies kāds no Konkurences likuma 15.panta pirmajā daļā noteiktajiem tirgus dalībnieku apvienošanās veidiem</w:t>
      </w:r>
      <w:r w:rsidR="009E0D27">
        <w:rPr>
          <w:rFonts w:ascii="Book Antiqua" w:eastAsia="Calibri" w:hAnsi="Book Antiqua"/>
          <w:i/>
          <w:iCs/>
        </w:rPr>
        <w:t xml:space="preserve"> un ir pienākums iesniegt ziņojumu par apvienošanos. </w:t>
      </w:r>
    </w:p>
    <w:p w14:paraId="3BF0C4A0" w14:textId="77777777" w:rsidR="002E53A5" w:rsidRDefault="002E53A5" w:rsidP="00365F4C">
      <w:pPr>
        <w:spacing w:line="276" w:lineRule="auto"/>
        <w:jc w:val="both"/>
        <w:rPr>
          <w:rFonts w:ascii="Book Antiqua" w:eastAsia="Calibri" w:hAnsi="Book Antiqua"/>
        </w:rPr>
      </w:pPr>
    </w:p>
    <w:p w14:paraId="6B14214D" w14:textId="50BE9F44" w:rsidR="00F970DF" w:rsidRDefault="00F970DF" w:rsidP="00365F4C">
      <w:pPr>
        <w:spacing w:line="276" w:lineRule="auto"/>
        <w:jc w:val="both"/>
        <w:rPr>
          <w:rFonts w:ascii="Book Antiqua" w:eastAsia="Calibri" w:hAnsi="Book Antiqua"/>
        </w:rPr>
      </w:pPr>
      <w:r w:rsidRPr="00F970DF">
        <w:rPr>
          <w:rFonts w:ascii="Book Antiqua" w:eastAsia="Calibri" w:hAnsi="Book Antiqua"/>
        </w:rPr>
        <w:t xml:space="preserve">Ar cieņu, </w:t>
      </w:r>
    </w:p>
    <w:p w14:paraId="7B0CA089" w14:textId="77777777" w:rsidR="00F970DF" w:rsidRPr="00F970DF" w:rsidRDefault="00F970DF" w:rsidP="00365F4C">
      <w:pPr>
        <w:spacing w:line="276" w:lineRule="auto"/>
        <w:jc w:val="both"/>
        <w:rPr>
          <w:rFonts w:ascii="Book Antiqua" w:eastAsia="Calibri" w:hAnsi="Book Antiqua"/>
        </w:rPr>
      </w:pPr>
      <w:r w:rsidRPr="00F970DF">
        <w:rPr>
          <w:rFonts w:ascii="Book Antiqua" w:eastAsia="Calibri" w:hAnsi="Book Antiqua"/>
        </w:rPr>
        <w:t xml:space="preserve">zvērināts advokāts </w:t>
      </w:r>
    </w:p>
    <w:p w14:paraId="30481A9D" w14:textId="66481A5B" w:rsidR="008A2130" w:rsidRDefault="00F970DF" w:rsidP="00365F4C">
      <w:pPr>
        <w:spacing w:line="276" w:lineRule="auto"/>
        <w:jc w:val="both"/>
        <w:rPr>
          <w:rFonts w:ascii="Book Antiqua" w:eastAsia="Calibri" w:hAnsi="Book Antiqua"/>
        </w:rPr>
      </w:pPr>
      <w:r w:rsidRPr="00F970DF">
        <w:rPr>
          <w:rFonts w:ascii="Book Antiqua" w:eastAsia="Calibri" w:hAnsi="Book Antiqua"/>
        </w:rPr>
        <w:t>Artūrs Spīgulis</w:t>
      </w:r>
    </w:p>
    <w:p w14:paraId="76FECA28" w14:textId="77777777" w:rsidR="007906A0" w:rsidRDefault="007906A0" w:rsidP="00410306">
      <w:pPr>
        <w:spacing w:after="120" w:line="276" w:lineRule="auto"/>
        <w:jc w:val="center"/>
        <w:rPr>
          <w:rFonts w:ascii="Book Antiqua" w:eastAsia="Calibri" w:hAnsi="Book Antiqua"/>
        </w:rPr>
      </w:pPr>
    </w:p>
    <w:p w14:paraId="0028D289" w14:textId="77777777" w:rsidR="007906A0" w:rsidRDefault="007906A0" w:rsidP="00410306">
      <w:pPr>
        <w:spacing w:after="120" w:line="276" w:lineRule="auto"/>
        <w:jc w:val="center"/>
        <w:rPr>
          <w:rFonts w:ascii="Book Antiqua" w:eastAsia="Calibri" w:hAnsi="Book Antiqua"/>
        </w:rPr>
      </w:pPr>
    </w:p>
    <w:p w14:paraId="3014BA50" w14:textId="279E54D2" w:rsidR="00A102C5" w:rsidRPr="008A376A" w:rsidRDefault="00A102C5" w:rsidP="00410306">
      <w:pPr>
        <w:spacing w:after="120" w:line="276" w:lineRule="auto"/>
        <w:jc w:val="center"/>
        <w:rPr>
          <w:rFonts w:ascii="Book Antiqua" w:eastAsia="Calibri" w:hAnsi="Book Antiqua"/>
          <w:caps/>
        </w:rPr>
      </w:pPr>
      <w:r w:rsidRPr="008A376A">
        <w:rPr>
          <w:rFonts w:ascii="Book Antiqua" w:eastAsia="Calibri" w:hAnsi="Book Antiqua"/>
          <w:caps/>
        </w:rPr>
        <w:t>Dokuments parakstīts ar drošu elektronisko parakstu un satur laika zīmogu.</w:t>
      </w:r>
    </w:p>
    <w:sectPr w:rsidR="00A102C5" w:rsidRPr="008A376A" w:rsidSect="002E53A5">
      <w:headerReference w:type="default" r:id="rId10"/>
      <w:footerReference w:type="default" r:id="rId11"/>
      <w:headerReference w:type="first" r:id="rId12"/>
      <w:footerReference w:type="first" r:id="rId13"/>
      <w:pgSz w:w="11906" w:h="16838" w:code="9"/>
      <w:pgMar w:top="1134" w:right="1134" w:bottom="1134" w:left="1418"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4EF9D0F2" w14:textId="77777777" w:rsidR="00F76E10" w:rsidRDefault="00F76E10" w:rsidP="009D443D">
      <w:r>
        <w:separator/>
      </w:r>
    </w:p>
  </w:endnote>
  <w:endnote w:type="continuationSeparator" w:id="0">
    <w:p w14:paraId="697BFA55" w14:textId="77777777" w:rsidR="00F76E10" w:rsidRDefault="00F76E10" w:rsidP="009D443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Book Antiqua">
    <w:panose1 w:val="02040602050305030304"/>
    <w:charset w:val="BA"/>
    <w:family w:val="roman"/>
    <w:pitch w:val="variable"/>
    <w:sig w:usb0="00000287" w:usb1="00000000" w:usb2="00000000" w:usb3="00000000" w:csb0="0000009F" w:csb1="00000000"/>
  </w:font>
  <w:font w:name="Calibri">
    <w:panose1 w:val="020F0502020204030204"/>
    <w:charset w:val="BA"/>
    <w:family w:val="swiss"/>
    <w:pitch w:val="variable"/>
    <w:sig w:usb0="E4002EFF" w:usb1="C000247B" w:usb2="00000009" w:usb3="00000000" w:csb0="000001FF" w:csb1="00000000"/>
  </w:font>
  <w:font w:name="TimesNewRomanRegular">
    <w:panose1 w:val="00000000000000000000"/>
    <w:charset w:val="BA"/>
    <w:family w:val="auto"/>
    <w:notTrueType/>
    <w:pitch w:val="default"/>
    <w:sig w:usb0="00000005" w:usb1="00000000" w:usb2="00000000" w:usb3="00000000" w:csb0="00000080" w:csb1="00000000"/>
  </w:font>
  <w:font w:name="Tahoma">
    <w:panose1 w:val="020B0604030504040204"/>
    <w:charset w:val="BA"/>
    <w:family w:val="swiss"/>
    <w:pitch w:val="variable"/>
    <w:sig w:usb0="E1002EFF" w:usb1="C000605B" w:usb2="00000029" w:usb3="00000000" w:csb0="000101FF" w:csb1="00000000"/>
  </w:font>
  <w:font w:name="Cambria">
    <w:panose1 w:val="02040503050406030204"/>
    <w:charset w:val="BA"/>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sz w:val="20"/>
        <w:szCs w:val="20"/>
      </w:rPr>
      <w:id w:val="-1037425236"/>
      <w:docPartObj>
        <w:docPartGallery w:val="Page Numbers (Bottom of Page)"/>
        <w:docPartUnique/>
      </w:docPartObj>
    </w:sdtPr>
    <w:sdtEndPr>
      <w:rPr>
        <w:noProof/>
      </w:rPr>
    </w:sdtEndPr>
    <w:sdtContent>
      <w:p w14:paraId="7644B423" w14:textId="2C35A796" w:rsidR="003A2D8C" w:rsidRPr="00E919F7" w:rsidRDefault="003A2D8C">
        <w:pPr>
          <w:pStyle w:val="Footer"/>
          <w:jc w:val="right"/>
          <w:rPr>
            <w:sz w:val="20"/>
            <w:szCs w:val="20"/>
          </w:rPr>
        </w:pPr>
        <w:r w:rsidRPr="00E919F7">
          <w:rPr>
            <w:sz w:val="20"/>
            <w:szCs w:val="20"/>
          </w:rPr>
          <w:fldChar w:fldCharType="begin"/>
        </w:r>
        <w:r w:rsidRPr="00E919F7">
          <w:rPr>
            <w:sz w:val="20"/>
            <w:szCs w:val="20"/>
          </w:rPr>
          <w:instrText xml:space="preserve"> PAGE   \* MERGEFORMAT </w:instrText>
        </w:r>
        <w:r w:rsidRPr="00E919F7">
          <w:rPr>
            <w:sz w:val="20"/>
            <w:szCs w:val="20"/>
          </w:rPr>
          <w:fldChar w:fldCharType="separate"/>
        </w:r>
        <w:r w:rsidR="00CE250E">
          <w:rPr>
            <w:noProof/>
            <w:sz w:val="20"/>
            <w:szCs w:val="20"/>
          </w:rPr>
          <w:t>2</w:t>
        </w:r>
        <w:r w:rsidRPr="00E919F7">
          <w:rPr>
            <w:noProof/>
            <w:sz w:val="20"/>
            <w:szCs w:val="20"/>
          </w:rPr>
          <w:fldChar w:fldCharType="end"/>
        </w:r>
      </w:p>
    </w:sdtContent>
  </w:sdt>
  <w:p w14:paraId="44BF97D4" w14:textId="77777777" w:rsidR="003A2D8C" w:rsidRDefault="003A2D8C">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484AB25" w14:textId="62B6F18C" w:rsidR="003A2D8C" w:rsidRPr="009D443D" w:rsidRDefault="00CD5728" w:rsidP="00E919F7">
    <w:pPr>
      <w:pStyle w:val="Footer"/>
      <w:jc w:val="center"/>
      <w:rPr>
        <w:sz w:val="18"/>
        <w:szCs w:val="18"/>
      </w:rPr>
    </w:pPr>
    <w:r>
      <w:rPr>
        <w:noProof/>
        <w:sz w:val="18"/>
        <w:szCs w:val="18"/>
        <w:lang w:eastAsia="lv-LV"/>
      </w:rPr>
      <mc:AlternateContent>
        <mc:Choice Requires="wps">
          <w:drawing>
            <wp:anchor distT="0" distB="0" distL="114299" distR="114299" simplePos="0" relativeHeight="251661312" behindDoc="0" locked="0" layoutInCell="1" allowOverlap="1" wp14:anchorId="299685CB" wp14:editId="33FB6B9D">
              <wp:simplePos x="0" y="0"/>
              <wp:positionH relativeFrom="column">
                <wp:posOffset>4599940</wp:posOffset>
              </wp:positionH>
              <wp:positionV relativeFrom="paragraph">
                <wp:posOffset>17145</wp:posOffset>
              </wp:positionV>
              <wp:extent cx="0" cy="142875"/>
              <wp:effectExtent l="0" t="0" r="19050" b="28575"/>
              <wp:wrapNone/>
              <wp:docPr id="4" name="AutoShape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42875"/>
                      </a:xfrm>
                      <a:prstGeom prst="straightConnector1">
                        <a:avLst/>
                      </a:prstGeom>
                      <a:noFill/>
                      <a:ln w="9525">
                        <a:solidFill>
                          <a:srgbClr val="C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w:pict>
            <v:shapetype w14:anchorId="797BC1BB" id="_x0000_t32" coordsize="21600,21600" o:spt="32" o:oned="t" path="m,l21600,21600e" filled="f">
              <v:path arrowok="t" fillok="f" o:connecttype="none"/>
              <o:lock v:ext="edit" shapetype="t"/>
            </v:shapetype>
            <v:shape id="AutoShape 1" o:spid="_x0000_s1026" type="#_x0000_t32" style="position:absolute;margin-left:362.2pt;margin-top:1.35pt;width:0;height:11.25pt;z-index:251661312;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" strokecolor="#c00000"/>
          </w:pict>
        </mc:Fallback>
      </mc:AlternateContent>
    </w:r>
    <w:r>
      <w:rPr>
        <w:noProof/>
        <w:sz w:val="18"/>
        <w:szCs w:val="18"/>
        <w:lang w:eastAsia="lv-LV"/>
      </w:rPr>
      <mc:AlternateContent>
        <mc:Choice Requires="wps">
          <w:drawing>
            <wp:anchor distT="0" distB="0" distL="114299" distR="114299" simplePos="0" relativeHeight="251660288" behindDoc="0" locked="0" layoutInCell="1" allowOverlap="1" wp14:anchorId="63A4C1C6" wp14:editId="1413C9AD">
              <wp:simplePos x="0" y="0"/>
              <wp:positionH relativeFrom="column">
                <wp:posOffset>3904615</wp:posOffset>
              </wp:positionH>
              <wp:positionV relativeFrom="paragraph">
                <wp:posOffset>17145</wp:posOffset>
              </wp:positionV>
              <wp:extent cx="0" cy="142875"/>
              <wp:effectExtent l="0" t="0" r="19050" b="28575"/>
              <wp:wrapNone/>
              <wp:docPr id="3" name="AutoShape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42875"/>
                      </a:xfrm>
                      <a:prstGeom prst="straightConnector1">
                        <a:avLst/>
                      </a:prstGeom>
                      <a:noFill/>
                      <a:ln w="9525">
                        <a:solidFill>
                          <a:srgbClr val="C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w:pict>
            <v:shape w14:anchorId="49569DF8" id="AutoShape 1" o:spid="_x0000_s1026" type="#_x0000_t32" style="position:absolute;margin-left:307.45pt;margin-top:1.35pt;width:0;height:11.25pt;z-index:251660288;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" strokecolor="#c00000"/>
          </w:pict>
        </mc:Fallback>
      </mc:AlternateContent>
    </w:r>
    <w:r>
      <w:rPr>
        <w:noProof/>
        <w:sz w:val="18"/>
        <w:szCs w:val="18"/>
        <w:lang w:eastAsia="lv-LV"/>
      </w:rPr>
      <mc:AlternateContent>
        <mc:Choice Requires="wps">
          <w:drawing>
            <wp:anchor distT="0" distB="0" distL="114299" distR="114299" simplePos="0" relativeHeight="251659264" behindDoc="0" locked="0" layoutInCell="1" allowOverlap="1" wp14:anchorId="283BA558" wp14:editId="6B74BF88">
              <wp:simplePos x="0" y="0"/>
              <wp:positionH relativeFrom="column">
                <wp:posOffset>1980565</wp:posOffset>
              </wp:positionH>
              <wp:positionV relativeFrom="paragraph">
                <wp:posOffset>17145</wp:posOffset>
              </wp:positionV>
              <wp:extent cx="0" cy="142875"/>
              <wp:effectExtent l="0" t="0" r="19050" b="28575"/>
              <wp:wrapNone/>
              <wp:docPr id="2" name="AutoShape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42875"/>
                      </a:xfrm>
                      <a:prstGeom prst="straightConnector1">
                        <a:avLst/>
                      </a:prstGeom>
                      <a:noFill/>
                      <a:ln w="9525">
                        <a:solidFill>
                          <a:srgbClr val="C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w:pict>
            <v:shape w14:anchorId="0C125ADD" id="AutoShape 1" o:spid="_x0000_s1026" type="#_x0000_t32" style="position:absolute;margin-left:155.95pt;margin-top:1.35pt;width:0;height:11.25pt;z-index:251659264;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" strokecolor="#c00000"/>
          </w:pict>
        </mc:Fallback>
      </mc:AlternateContent>
    </w:r>
    <w:r w:rsidR="003A2D8C">
      <w:rPr>
        <w:sz w:val="18"/>
        <w:szCs w:val="18"/>
      </w:rPr>
      <w:t>Vaļ</w:t>
    </w:r>
    <w:r w:rsidR="003A2D8C" w:rsidRPr="009D443D">
      <w:rPr>
        <w:sz w:val="18"/>
        <w:szCs w:val="18"/>
      </w:rPr>
      <w:t>ņu iela 3, Rīga, LV-1050</w:t>
    </w:r>
    <w:r w:rsidR="003A2D8C">
      <w:rPr>
        <w:sz w:val="18"/>
        <w:szCs w:val="18"/>
      </w:rPr>
      <w:t>, Latvija      T. +317 6721 4272</w:t>
    </w:r>
    <w:r w:rsidR="003A2D8C" w:rsidRPr="009D443D">
      <w:rPr>
        <w:sz w:val="18"/>
        <w:szCs w:val="18"/>
      </w:rPr>
      <w:t xml:space="preserve"> F. +371 6721 4273       </w:t>
    </w:r>
    <w:hyperlink r:id="rId1" w:history="1">
      <w:r w:rsidR="003A2D8C" w:rsidRPr="009D443D">
        <w:rPr>
          <w:rStyle w:val="Hyperlink"/>
          <w:color w:val="auto"/>
          <w:sz w:val="18"/>
          <w:szCs w:val="18"/>
          <w:u w:val="none"/>
        </w:rPr>
        <w:t>law@ska.lv</w:t>
      </w:r>
    </w:hyperlink>
    <w:r w:rsidR="003A2D8C" w:rsidRPr="009D443D">
      <w:rPr>
        <w:sz w:val="18"/>
        <w:szCs w:val="18"/>
      </w:rPr>
      <w:t xml:space="preserve">        </w:t>
    </w:r>
    <w:hyperlink r:id="rId2" w:history="1">
      <w:r w:rsidR="003A2D8C" w:rsidRPr="009D443D">
        <w:rPr>
          <w:rStyle w:val="Hyperlink"/>
          <w:color w:val="auto"/>
          <w:sz w:val="18"/>
          <w:szCs w:val="18"/>
          <w:u w:val="none"/>
        </w:rPr>
        <w:t>www.ska.lv</w:t>
      </w:r>
    </w:hyperlink>
  </w:p>
  <w:p w14:paraId="50A685C7" w14:textId="77777777" w:rsidR="003A2D8C" w:rsidRDefault="003A2D8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38EDFCC8" w14:textId="77777777" w:rsidR="00F76E10" w:rsidRDefault="00F76E10" w:rsidP="009D443D">
      <w:r>
        <w:separator/>
      </w:r>
    </w:p>
  </w:footnote>
  <w:footnote w:type="continuationSeparator" w:id="0">
    <w:p w14:paraId="3F05FCB5" w14:textId="77777777" w:rsidR="00F76E10" w:rsidRDefault="00F76E10" w:rsidP="009D443D">
      <w:r>
        <w:continuationSeparator/>
      </w:r>
    </w:p>
  </w:footnote>
  <w:footnote w:id="1">
    <w:p w14:paraId="7FA7530E" w14:textId="1271EBB1" w:rsidR="00C27EE7" w:rsidRPr="00CF782E" w:rsidRDefault="00C27EE7">
      <w:pPr>
        <w:pStyle w:val="FootnoteText"/>
        <w:rPr>
          <w:rFonts w:ascii="Book Antiqua" w:hAnsi="Book Antiqua"/>
        </w:rPr>
      </w:pPr>
      <w:r w:rsidRPr="00CF782E">
        <w:rPr>
          <w:rStyle w:val="FootnoteReference"/>
          <w:rFonts w:ascii="Book Antiqua" w:hAnsi="Book Antiqua"/>
        </w:rPr>
        <w:footnoteRef/>
      </w:r>
      <w:r w:rsidRPr="00CF782E">
        <w:rPr>
          <w:rFonts w:ascii="Book Antiqua" w:hAnsi="Book Antiqua"/>
        </w:rPr>
        <w:t xml:space="preserve"> Augstākās tiesas Senāta Administratīvo lietu departamenta 29.06.2018. lēmums lietā Nr. SKA-1320/2018</w:t>
      </w:r>
    </w:p>
  </w:footnote>
  <w:footnote w:id="2">
    <w:p w14:paraId="66E66A99" w14:textId="1A36CA52" w:rsidR="00C27EE7" w:rsidRPr="00CF782E" w:rsidRDefault="00C27EE7" w:rsidP="00F72D96">
      <w:pPr>
        <w:pStyle w:val="FootnoteText"/>
        <w:jc w:val="both"/>
        <w:rPr>
          <w:rFonts w:ascii="Book Antiqua" w:hAnsi="Book Antiqua"/>
        </w:rPr>
      </w:pPr>
      <w:r w:rsidRPr="00CF782E">
        <w:rPr>
          <w:rStyle w:val="FootnoteReference"/>
          <w:rFonts w:ascii="Book Antiqua" w:hAnsi="Book Antiqua"/>
        </w:rPr>
        <w:footnoteRef/>
      </w:r>
      <w:r w:rsidRPr="00CF782E">
        <w:rPr>
          <w:rFonts w:ascii="Book Antiqua" w:hAnsi="Book Antiqua"/>
        </w:rPr>
        <w:t xml:space="preserve"> Konkurences padomes 09.09.2019. lēmums Nr. 19 (Prot. Nr. 47 2. §) </w:t>
      </w:r>
    </w:p>
  </w:footnote>
  <w:footnote w:id="3">
    <w:p w14:paraId="6923E8E7" w14:textId="704EB02D" w:rsidR="007B429E" w:rsidRPr="001E25EE" w:rsidRDefault="007B429E" w:rsidP="00F72D96">
      <w:pPr>
        <w:pStyle w:val="FootnoteText"/>
        <w:jc w:val="both"/>
        <w:rPr>
          <w:rFonts w:ascii="Book Antiqua" w:hAnsi="Book Antiqua"/>
        </w:rPr>
      </w:pPr>
      <w:r w:rsidRPr="00CF782E">
        <w:rPr>
          <w:rStyle w:val="FootnoteReference"/>
          <w:rFonts w:ascii="Book Antiqua" w:hAnsi="Book Antiqua"/>
        </w:rPr>
        <w:footnoteRef/>
      </w:r>
      <w:r w:rsidRPr="00CF782E">
        <w:rPr>
          <w:rFonts w:ascii="Book Antiqua" w:hAnsi="Book Antiqua"/>
        </w:rPr>
        <w:t xml:space="preserve"> Eiropas Parlamenta</w:t>
      </w:r>
      <w:r w:rsidRPr="001E25EE">
        <w:rPr>
          <w:rFonts w:ascii="Book Antiqua" w:hAnsi="Book Antiqua"/>
        </w:rPr>
        <w:t xml:space="preserve"> un Padomes Direktīvu 2019/1/ES par apstākļu nodrošināšanu nolūkā dot dalībvalstu konkurences iestādēm iespēju efektīvāk izpildīt konkurences noteikumus un par iekšējā tirgus pienācīgas darbības nodrošināšanu (turpmāk – Direktīva)</w:t>
      </w:r>
    </w:p>
  </w:footnote>
  <w:footnote w:id="4">
    <w:p w14:paraId="7AD54FE3" w14:textId="77777777" w:rsidR="00A449B7" w:rsidRDefault="00A449B7" w:rsidP="00F72D96">
      <w:pPr>
        <w:pStyle w:val="FootnoteText"/>
        <w:jc w:val="both"/>
      </w:pPr>
      <w:r w:rsidRPr="001E25EE">
        <w:rPr>
          <w:rStyle w:val="FootnoteReference"/>
          <w:rFonts w:ascii="Book Antiqua" w:hAnsi="Book Antiqua"/>
        </w:rPr>
        <w:footnoteRef/>
      </w:r>
      <w:r w:rsidRPr="001E25EE">
        <w:rPr>
          <w:rFonts w:ascii="Book Antiqua" w:hAnsi="Book Antiqua"/>
        </w:rPr>
        <w:t xml:space="preserve"> Skat. Administratīvās apgabaltiesas 2019. gada 1. oktobra lēmumu lietā Nr. 43008319, 14. punkts</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CD61D60" w14:textId="77777777" w:rsidR="003A2D8C" w:rsidRDefault="003A2D8C" w:rsidP="009D443D">
    <w:pPr>
      <w:pStyle w:val="Header"/>
      <w:jc w:val="righ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F359E70" w14:textId="77777777" w:rsidR="003A2D8C" w:rsidRDefault="003A2D8C" w:rsidP="00E919F7">
    <w:pPr>
      <w:pStyle w:val="Header"/>
      <w:jc w:val="right"/>
    </w:pPr>
    <w:r>
      <w:rPr>
        <w:noProof/>
        <w:lang w:eastAsia="lv-LV"/>
      </w:rPr>
      <w:drawing>
        <wp:inline distT="0" distB="0" distL="0" distR="0" wp14:anchorId="2A145510" wp14:editId="691018DB">
          <wp:extent cx="3121152" cy="451104"/>
          <wp:effectExtent l="19050" t="0" r="3048" b="0"/>
          <wp:docPr id="1" name="Picture 0" descr="istai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stais.jpg"/>
                  <pic:cNvPicPr/>
                </pic:nvPicPr>
                <pic:blipFill>
                  <a:blip r:embed="rId1"/>
                  <a:stretch>
                    <a:fillRect/>
                  </a:stretch>
                </pic:blipFill>
                <pic:spPr>
                  <a:xfrm>
                    <a:off x="0" y="0"/>
                    <a:ext cx="3121152" cy="451104"/>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55E1A9E"/>
    <w:multiLevelType w:val="hybridMultilevel"/>
    <w:tmpl w:val="93FEEDF0"/>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 w15:restartNumberingAfterBreak="0">
    <w:nsid w:val="090C3A6A"/>
    <w:multiLevelType w:val="hybridMultilevel"/>
    <w:tmpl w:val="B3AA2866"/>
    <w:lvl w:ilvl="0" w:tplc="AB7C4CD4">
      <w:start w:val="1"/>
      <w:numFmt w:val="bullet"/>
      <w:lvlText w:val="-"/>
      <w:lvlJc w:val="left"/>
      <w:pPr>
        <w:ind w:left="720" w:hanging="360"/>
      </w:pPr>
      <w:rPr>
        <w:rFonts w:ascii="Book Antiqua" w:eastAsia="Calibri" w:hAnsi="Book Antiqua" w:cs="TimesNewRomanRegular"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2" w15:restartNumberingAfterBreak="0">
    <w:nsid w:val="15CE4713"/>
    <w:multiLevelType w:val="hybridMultilevel"/>
    <w:tmpl w:val="BBAA0974"/>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 w15:restartNumberingAfterBreak="0">
    <w:nsid w:val="198A6934"/>
    <w:multiLevelType w:val="multilevel"/>
    <w:tmpl w:val="60EEFB62"/>
    <w:lvl w:ilvl="0">
      <w:start w:val="1"/>
      <w:numFmt w:val="decimal"/>
      <w:lvlText w:val="%1."/>
      <w:lvlJc w:val="left"/>
      <w:pPr>
        <w:ind w:left="360" w:hanging="360"/>
      </w:pPr>
      <w:rPr>
        <w:rFonts w:hint="default"/>
      </w:rPr>
    </w:lvl>
    <w:lvl w:ilvl="1">
      <w:start w:val="1"/>
      <w:numFmt w:val="decimal"/>
      <w:lvlText w:val="%1.%2."/>
      <w:lvlJc w:val="left"/>
      <w:pPr>
        <w:ind w:left="1080" w:hanging="7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4680" w:hanging="1800"/>
      </w:pPr>
      <w:rPr>
        <w:rFonts w:hint="default"/>
      </w:rPr>
    </w:lvl>
  </w:abstractNum>
  <w:abstractNum w:abstractNumId="4" w15:restartNumberingAfterBreak="0">
    <w:nsid w:val="1AAD0971"/>
    <w:multiLevelType w:val="hybridMultilevel"/>
    <w:tmpl w:val="F4F8648E"/>
    <w:lvl w:ilvl="0" w:tplc="9526407A">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5" w15:restartNumberingAfterBreak="0">
    <w:nsid w:val="250E3E95"/>
    <w:multiLevelType w:val="multilevel"/>
    <w:tmpl w:val="60EEFB62"/>
    <w:lvl w:ilvl="0">
      <w:start w:val="1"/>
      <w:numFmt w:val="decimal"/>
      <w:lvlText w:val="%1."/>
      <w:lvlJc w:val="left"/>
      <w:pPr>
        <w:ind w:left="360" w:hanging="360"/>
      </w:pPr>
      <w:rPr>
        <w:rFonts w:hint="default"/>
      </w:rPr>
    </w:lvl>
    <w:lvl w:ilvl="1">
      <w:start w:val="1"/>
      <w:numFmt w:val="decimal"/>
      <w:lvlText w:val="%1.%2."/>
      <w:lvlJc w:val="left"/>
      <w:pPr>
        <w:ind w:left="1080" w:hanging="7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4680" w:hanging="1800"/>
      </w:pPr>
      <w:rPr>
        <w:rFonts w:hint="default"/>
      </w:rPr>
    </w:lvl>
  </w:abstractNum>
  <w:abstractNum w:abstractNumId="6" w15:restartNumberingAfterBreak="0">
    <w:nsid w:val="29F0173A"/>
    <w:multiLevelType w:val="hybridMultilevel"/>
    <w:tmpl w:val="FB5A54CA"/>
    <w:lvl w:ilvl="0" w:tplc="CA7EC09E">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 w15:restartNumberingAfterBreak="0">
    <w:nsid w:val="2AFC4D81"/>
    <w:multiLevelType w:val="hybridMultilevel"/>
    <w:tmpl w:val="4250569C"/>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8" w15:restartNumberingAfterBreak="0">
    <w:nsid w:val="2DE30ED7"/>
    <w:multiLevelType w:val="hybridMultilevel"/>
    <w:tmpl w:val="1FB003EC"/>
    <w:lvl w:ilvl="0" w:tplc="04260001">
      <w:start w:val="1"/>
      <w:numFmt w:val="bullet"/>
      <w:lvlText w:val=""/>
      <w:lvlJc w:val="left"/>
      <w:pPr>
        <w:ind w:left="780" w:hanging="360"/>
      </w:pPr>
      <w:rPr>
        <w:rFonts w:ascii="Symbol" w:hAnsi="Symbol" w:hint="default"/>
      </w:rPr>
    </w:lvl>
    <w:lvl w:ilvl="1" w:tplc="04260003" w:tentative="1">
      <w:start w:val="1"/>
      <w:numFmt w:val="bullet"/>
      <w:lvlText w:val="o"/>
      <w:lvlJc w:val="left"/>
      <w:pPr>
        <w:ind w:left="1500" w:hanging="360"/>
      </w:pPr>
      <w:rPr>
        <w:rFonts w:ascii="Courier New" w:hAnsi="Courier New" w:cs="Courier New" w:hint="default"/>
      </w:rPr>
    </w:lvl>
    <w:lvl w:ilvl="2" w:tplc="04260005" w:tentative="1">
      <w:start w:val="1"/>
      <w:numFmt w:val="bullet"/>
      <w:lvlText w:val=""/>
      <w:lvlJc w:val="left"/>
      <w:pPr>
        <w:ind w:left="2220" w:hanging="360"/>
      </w:pPr>
      <w:rPr>
        <w:rFonts w:ascii="Wingdings" w:hAnsi="Wingdings" w:hint="default"/>
      </w:rPr>
    </w:lvl>
    <w:lvl w:ilvl="3" w:tplc="04260001" w:tentative="1">
      <w:start w:val="1"/>
      <w:numFmt w:val="bullet"/>
      <w:lvlText w:val=""/>
      <w:lvlJc w:val="left"/>
      <w:pPr>
        <w:ind w:left="2940" w:hanging="360"/>
      </w:pPr>
      <w:rPr>
        <w:rFonts w:ascii="Symbol" w:hAnsi="Symbol" w:hint="default"/>
      </w:rPr>
    </w:lvl>
    <w:lvl w:ilvl="4" w:tplc="04260003" w:tentative="1">
      <w:start w:val="1"/>
      <w:numFmt w:val="bullet"/>
      <w:lvlText w:val="o"/>
      <w:lvlJc w:val="left"/>
      <w:pPr>
        <w:ind w:left="3660" w:hanging="360"/>
      </w:pPr>
      <w:rPr>
        <w:rFonts w:ascii="Courier New" w:hAnsi="Courier New" w:cs="Courier New" w:hint="default"/>
      </w:rPr>
    </w:lvl>
    <w:lvl w:ilvl="5" w:tplc="04260005" w:tentative="1">
      <w:start w:val="1"/>
      <w:numFmt w:val="bullet"/>
      <w:lvlText w:val=""/>
      <w:lvlJc w:val="left"/>
      <w:pPr>
        <w:ind w:left="4380" w:hanging="360"/>
      </w:pPr>
      <w:rPr>
        <w:rFonts w:ascii="Wingdings" w:hAnsi="Wingdings" w:hint="default"/>
      </w:rPr>
    </w:lvl>
    <w:lvl w:ilvl="6" w:tplc="04260001" w:tentative="1">
      <w:start w:val="1"/>
      <w:numFmt w:val="bullet"/>
      <w:lvlText w:val=""/>
      <w:lvlJc w:val="left"/>
      <w:pPr>
        <w:ind w:left="5100" w:hanging="360"/>
      </w:pPr>
      <w:rPr>
        <w:rFonts w:ascii="Symbol" w:hAnsi="Symbol" w:hint="default"/>
      </w:rPr>
    </w:lvl>
    <w:lvl w:ilvl="7" w:tplc="04260003" w:tentative="1">
      <w:start w:val="1"/>
      <w:numFmt w:val="bullet"/>
      <w:lvlText w:val="o"/>
      <w:lvlJc w:val="left"/>
      <w:pPr>
        <w:ind w:left="5820" w:hanging="360"/>
      </w:pPr>
      <w:rPr>
        <w:rFonts w:ascii="Courier New" w:hAnsi="Courier New" w:cs="Courier New" w:hint="default"/>
      </w:rPr>
    </w:lvl>
    <w:lvl w:ilvl="8" w:tplc="04260005" w:tentative="1">
      <w:start w:val="1"/>
      <w:numFmt w:val="bullet"/>
      <w:lvlText w:val=""/>
      <w:lvlJc w:val="left"/>
      <w:pPr>
        <w:ind w:left="6540" w:hanging="360"/>
      </w:pPr>
      <w:rPr>
        <w:rFonts w:ascii="Wingdings" w:hAnsi="Wingdings" w:hint="default"/>
      </w:rPr>
    </w:lvl>
  </w:abstractNum>
  <w:abstractNum w:abstractNumId="9" w15:restartNumberingAfterBreak="0">
    <w:nsid w:val="2F0051B0"/>
    <w:multiLevelType w:val="hybridMultilevel"/>
    <w:tmpl w:val="368C0C58"/>
    <w:lvl w:ilvl="0" w:tplc="0426000F">
      <w:start w:val="1"/>
      <w:numFmt w:val="decimal"/>
      <w:lvlText w:val="%1."/>
      <w:lvlJc w:val="left"/>
      <w:pPr>
        <w:ind w:left="1500" w:hanging="360"/>
      </w:pPr>
    </w:lvl>
    <w:lvl w:ilvl="1" w:tplc="04260019" w:tentative="1">
      <w:start w:val="1"/>
      <w:numFmt w:val="lowerLetter"/>
      <w:lvlText w:val="%2."/>
      <w:lvlJc w:val="left"/>
      <w:pPr>
        <w:ind w:left="2220" w:hanging="360"/>
      </w:pPr>
    </w:lvl>
    <w:lvl w:ilvl="2" w:tplc="0426001B" w:tentative="1">
      <w:start w:val="1"/>
      <w:numFmt w:val="lowerRoman"/>
      <w:lvlText w:val="%3."/>
      <w:lvlJc w:val="right"/>
      <w:pPr>
        <w:ind w:left="2940" w:hanging="180"/>
      </w:pPr>
    </w:lvl>
    <w:lvl w:ilvl="3" w:tplc="0426000F" w:tentative="1">
      <w:start w:val="1"/>
      <w:numFmt w:val="decimal"/>
      <w:lvlText w:val="%4."/>
      <w:lvlJc w:val="left"/>
      <w:pPr>
        <w:ind w:left="3660" w:hanging="360"/>
      </w:pPr>
    </w:lvl>
    <w:lvl w:ilvl="4" w:tplc="04260019" w:tentative="1">
      <w:start w:val="1"/>
      <w:numFmt w:val="lowerLetter"/>
      <w:lvlText w:val="%5."/>
      <w:lvlJc w:val="left"/>
      <w:pPr>
        <w:ind w:left="4380" w:hanging="360"/>
      </w:pPr>
    </w:lvl>
    <w:lvl w:ilvl="5" w:tplc="0426001B" w:tentative="1">
      <w:start w:val="1"/>
      <w:numFmt w:val="lowerRoman"/>
      <w:lvlText w:val="%6."/>
      <w:lvlJc w:val="right"/>
      <w:pPr>
        <w:ind w:left="5100" w:hanging="180"/>
      </w:pPr>
    </w:lvl>
    <w:lvl w:ilvl="6" w:tplc="0426000F" w:tentative="1">
      <w:start w:val="1"/>
      <w:numFmt w:val="decimal"/>
      <w:lvlText w:val="%7."/>
      <w:lvlJc w:val="left"/>
      <w:pPr>
        <w:ind w:left="5820" w:hanging="360"/>
      </w:pPr>
    </w:lvl>
    <w:lvl w:ilvl="7" w:tplc="04260019" w:tentative="1">
      <w:start w:val="1"/>
      <w:numFmt w:val="lowerLetter"/>
      <w:lvlText w:val="%8."/>
      <w:lvlJc w:val="left"/>
      <w:pPr>
        <w:ind w:left="6540" w:hanging="360"/>
      </w:pPr>
    </w:lvl>
    <w:lvl w:ilvl="8" w:tplc="0426001B" w:tentative="1">
      <w:start w:val="1"/>
      <w:numFmt w:val="lowerRoman"/>
      <w:lvlText w:val="%9."/>
      <w:lvlJc w:val="right"/>
      <w:pPr>
        <w:ind w:left="7260" w:hanging="180"/>
      </w:pPr>
    </w:lvl>
  </w:abstractNum>
  <w:abstractNum w:abstractNumId="10" w15:restartNumberingAfterBreak="0">
    <w:nsid w:val="2F6164D9"/>
    <w:multiLevelType w:val="hybridMultilevel"/>
    <w:tmpl w:val="597A1832"/>
    <w:lvl w:ilvl="0" w:tplc="0426000D">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1" w15:restartNumberingAfterBreak="0">
    <w:nsid w:val="314E2E94"/>
    <w:multiLevelType w:val="hybridMultilevel"/>
    <w:tmpl w:val="4EA0A68A"/>
    <w:lvl w:ilvl="0" w:tplc="6A744AB0">
      <w:start w:val="1"/>
      <w:numFmt w:val="decimal"/>
      <w:lvlText w:val="%1."/>
      <w:lvlJc w:val="left"/>
      <w:pPr>
        <w:ind w:left="1440" w:hanging="360"/>
      </w:pPr>
      <w:rPr>
        <w:b/>
      </w:rPr>
    </w:lvl>
    <w:lvl w:ilvl="1" w:tplc="04260019" w:tentative="1">
      <w:start w:val="1"/>
      <w:numFmt w:val="lowerLetter"/>
      <w:lvlText w:val="%2."/>
      <w:lvlJc w:val="left"/>
      <w:pPr>
        <w:ind w:left="2160" w:hanging="360"/>
      </w:p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abstractNum w:abstractNumId="12" w15:restartNumberingAfterBreak="0">
    <w:nsid w:val="31862B65"/>
    <w:multiLevelType w:val="hybridMultilevel"/>
    <w:tmpl w:val="62CC9192"/>
    <w:lvl w:ilvl="0" w:tplc="30D0062E">
      <w:start w:val="1"/>
      <w:numFmt w:val="decimal"/>
      <w:lvlText w:val="%1."/>
      <w:lvlJc w:val="left"/>
      <w:pPr>
        <w:ind w:left="720" w:hanging="360"/>
      </w:pPr>
      <w:rPr>
        <w:b w:val="0"/>
        <w:bCs/>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3" w15:restartNumberingAfterBreak="0">
    <w:nsid w:val="32215020"/>
    <w:multiLevelType w:val="multilevel"/>
    <w:tmpl w:val="5008B072"/>
    <w:lvl w:ilvl="0">
      <w:start w:val="2"/>
      <w:numFmt w:val="decimal"/>
      <w:lvlText w:val="%1."/>
      <w:lvlJc w:val="left"/>
      <w:pPr>
        <w:ind w:left="360" w:hanging="360"/>
      </w:pPr>
      <w:rPr>
        <w:b/>
      </w:rPr>
    </w:lvl>
    <w:lvl w:ilvl="1">
      <w:start w:val="1"/>
      <w:numFmt w:val="decimal"/>
      <w:isLgl/>
      <w:lvlText w:val="%1.%2."/>
      <w:lvlJc w:val="left"/>
      <w:pPr>
        <w:ind w:left="360" w:hanging="360"/>
      </w:pPr>
      <w:rPr>
        <w:rFonts w:ascii="Times New Roman" w:hAnsi="Times New Roman" w:cs="Times New Roman" w:hint="default"/>
        <w:b/>
        <w:sz w:val="24"/>
        <w:szCs w:val="24"/>
      </w:rPr>
    </w:lvl>
    <w:lvl w:ilvl="2">
      <w:start w:val="1"/>
      <w:numFmt w:val="decimal"/>
      <w:isLgl/>
      <w:lvlText w:val="%1.%2.%3."/>
      <w:lvlJc w:val="left"/>
      <w:pPr>
        <w:ind w:left="720" w:hanging="720"/>
      </w:pPr>
    </w:lvl>
    <w:lvl w:ilvl="3">
      <w:start w:val="1"/>
      <w:numFmt w:val="decimal"/>
      <w:isLgl/>
      <w:lvlText w:val="%1.%2.%3.%4."/>
      <w:lvlJc w:val="left"/>
      <w:pPr>
        <w:ind w:left="720" w:hanging="720"/>
      </w:pPr>
    </w:lvl>
    <w:lvl w:ilvl="4">
      <w:start w:val="1"/>
      <w:numFmt w:val="decimal"/>
      <w:isLgl/>
      <w:lvlText w:val="%1.%2.%3.%4.%5."/>
      <w:lvlJc w:val="left"/>
      <w:pPr>
        <w:ind w:left="1080" w:hanging="1080"/>
      </w:pPr>
    </w:lvl>
    <w:lvl w:ilvl="5">
      <w:start w:val="1"/>
      <w:numFmt w:val="decimal"/>
      <w:isLgl/>
      <w:lvlText w:val="%1.%2.%3.%4.%5.%6."/>
      <w:lvlJc w:val="left"/>
      <w:pPr>
        <w:ind w:left="1080" w:hanging="1080"/>
      </w:pPr>
    </w:lvl>
    <w:lvl w:ilvl="6">
      <w:start w:val="1"/>
      <w:numFmt w:val="decimal"/>
      <w:isLgl/>
      <w:lvlText w:val="%1.%2.%3.%4.%5.%6.%7."/>
      <w:lvlJc w:val="left"/>
      <w:pPr>
        <w:ind w:left="1440" w:hanging="1440"/>
      </w:pPr>
    </w:lvl>
    <w:lvl w:ilvl="7">
      <w:start w:val="1"/>
      <w:numFmt w:val="decimal"/>
      <w:isLgl/>
      <w:lvlText w:val="%1.%2.%3.%4.%5.%6.%7.%8."/>
      <w:lvlJc w:val="left"/>
      <w:pPr>
        <w:ind w:left="1440" w:hanging="1440"/>
      </w:pPr>
    </w:lvl>
    <w:lvl w:ilvl="8">
      <w:start w:val="1"/>
      <w:numFmt w:val="decimal"/>
      <w:isLgl/>
      <w:lvlText w:val="%1.%2.%3.%4.%5.%6.%7.%8.%9."/>
      <w:lvlJc w:val="left"/>
      <w:pPr>
        <w:ind w:left="1800" w:hanging="1800"/>
      </w:pPr>
    </w:lvl>
  </w:abstractNum>
  <w:abstractNum w:abstractNumId="14" w15:restartNumberingAfterBreak="0">
    <w:nsid w:val="352B6495"/>
    <w:multiLevelType w:val="hybridMultilevel"/>
    <w:tmpl w:val="1340BE32"/>
    <w:lvl w:ilvl="0" w:tplc="255EF776">
      <w:start w:val="1"/>
      <w:numFmt w:val="decimal"/>
      <w:lvlText w:val="%1."/>
      <w:lvlJc w:val="left"/>
      <w:pPr>
        <w:ind w:left="720" w:hanging="360"/>
      </w:pPr>
      <w:rPr>
        <w:b/>
      </w:r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15" w15:restartNumberingAfterBreak="0">
    <w:nsid w:val="39F47C82"/>
    <w:multiLevelType w:val="hybridMultilevel"/>
    <w:tmpl w:val="A8682460"/>
    <w:lvl w:ilvl="0" w:tplc="10AE46CE">
      <w:numFmt w:val="bullet"/>
      <w:lvlText w:val="-"/>
      <w:lvlJc w:val="left"/>
      <w:pPr>
        <w:ind w:left="930" w:hanging="360"/>
      </w:pPr>
      <w:rPr>
        <w:rFonts w:ascii="Book Antiqua" w:eastAsia="Times New Roman" w:hAnsi="Book Antiqua" w:cs="Times New Roman" w:hint="default"/>
      </w:rPr>
    </w:lvl>
    <w:lvl w:ilvl="1" w:tplc="04260003" w:tentative="1">
      <w:start w:val="1"/>
      <w:numFmt w:val="bullet"/>
      <w:lvlText w:val="o"/>
      <w:lvlJc w:val="left"/>
      <w:pPr>
        <w:ind w:left="1650" w:hanging="360"/>
      </w:pPr>
      <w:rPr>
        <w:rFonts w:ascii="Courier New" w:hAnsi="Courier New" w:cs="Courier New" w:hint="default"/>
      </w:rPr>
    </w:lvl>
    <w:lvl w:ilvl="2" w:tplc="04260005" w:tentative="1">
      <w:start w:val="1"/>
      <w:numFmt w:val="bullet"/>
      <w:lvlText w:val=""/>
      <w:lvlJc w:val="left"/>
      <w:pPr>
        <w:ind w:left="2370" w:hanging="360"/>
      </w:pPr>
      <w:rPr>
        <w:rFonts w:ascii="Wingdings" w:hAnsi="Wingdings" w:hint="default"/>
      </w:rPr>
    </w:lvl>
    <w:lvl w:ilvl="3" w:tplc="04260001" w:tentative="1">
      <w:start w:val="1"/>
      <w:numFmt w:val="bullet"/>
      <w:lvlText w:val=""/>
      <w:lvlJc w:val="left"/>
      <w:pPr>
        <w:ind w:left="3090" w:hanging="360"/>
      </w:pPr>
      <w:rPr>
        <w:rFonts w:ascii="Symbol" w:hAnsi="Symbol" w:hint="default"/>
      </w:rPr>
    </w:lvl>
    <w:lvl w:ilvl="4" w:tplc="04260003" w:tentative="1">
      <w:start w:val="1"/>
      <w:numFmt w:val="bullet"/>
      <w:lvlText w:val="o"/>
      <w:lvlJc w:val="left"/>
      <w:pPr>
        <w:ind w:left="3810" w:hanging="360"/>
      </w:pPr>
      <w:rPr>
        <w:rFonts w:ascii="Courier New" w:hAnsi="Courier New" w:cs="Courier New" w:hint="default"/>
      </w:rPr>
    </w:lvl>
    <w:lvl w:ilvl="5" w:tplc="04260005" w:tentative="1">
      <w:start w:val="1"/>
      <w:numFmt w:val="bullet"/>
      <w:lvlText w:val=""/>
      <w:lvlJc w:val="left"/>
      <w:pPr>
        <w:ind w:left="4530" w:hanging="360"/>
      </w:pPr>
      <w:rPr>
        <w:rFonts w:ascii="Wingdings" w:hAnsi="Wingdings" w:hint="default"/>
      </w:rPr>
    </w:lvl>
    <w:lvl w:ilvl="6" w:tplc="04260001" w:tentative="1">
      <w:start w:val="1"/>
      <w:numFmt w:val="bullet"/>
      <w:lvlText w:val=""/>
      <w:lvlJc w:val="left"/>
      <w:pPr>
        <w:ind w:left="5250" w:hanging="360"/>
      </w:pPr>
      <w:rPr>
        <w:rFonts w:ascii="Symbol" w:hAnsi="Symbol" w:hint="default"/>
      </w:rPr>
    </w:lvl>
    <w:lvl w:ilvl="7" w:tplc="04260003" w:tentative="1">
      <w:start w:val="1"/>
      <w:numFmt w:val="bullet"/>
      <w:lvlText w:val="o"/>
      <w:lvlJc w:val="left"/>
      <w:pPr>
        <w:ind w:left="5970" w:hanging="360"/>
      </w:pPr>
      <w:rPr>
        <w:rFonts w:ascii="Courier New" w:hAnsi="Courier New" w:cs="Courier New" w:hint="default"/>
      </w:rPr>
    </w:lvl>
    <w:lvl w:ilvl="8" w:tplc="04260005" w:tentative="1">
      <w:start w:val="1"/>
      <w:numFmt w:val="bullet"/>
      <w:lvlText w:val=""/>
      <w:lvlJc w:val="left"/>
      <w:pPr>
        <w:ind w:left="6690" w:hanging="360"/>
      </w:pPr>
      <w:rPr>
        <w:rFonts w:ascii="Wingdings" w:hAnsi="Wingdings" w:hint="default"/>
      </w:rPr>
    </w:lvl>
  </w:abstractNum>
  <w:abstractNum w:abstractNumId="16" w15:restartNumberingAfterBreak="0">
    <w:nsid w:val="3B767002"/>
    <w:multiLevelType w:val="hybridMultilevel"/>
    <w:tmpl w:val="25DE42FE"/>
    <w:lvl w:ilvl="0" w:tplc="557851E0">
      <w:start w:val="2"/>
      <w:numFmt w:val="decimal"/>
      <w:lvlText w:val="%1."/>
      <w:lvlJc w:val="left"/>
      <w:pPr>
        <w:ind w:left="720" w:hanging="360"/>
      </w:pPr>
      <w:rPr>
        <w:rFonts w:hint="default"/>
        <w:b/>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7" w15:restartNumberingAfterBreak="0">
    <w:nsid w:val="3D150B77"/>
    <w:multiLevelType w:val="hybridMultilevel"/>
    <w:tmpl w:val="AB0C7D24"/>
    <w:lvl w:ilvl="0" w:tplc="939A0A5C">
      <w:start w:val="5"/>
      <w:numFmt w:val="bullet"/>
      <w:lvlText w:val="-"/>
      <w:lvlJc w:val="left"/>
      <w:pPr>
        <w:ind w:left="720" w:hanging="360"/>
      </w:pPr>
      <w:rPr>
        <w:rFonts w:ascii="Book Antiqua" w:eastAsia="Calibri" w:hAnsi="Book Antiqua" w:cs="Times New Roman"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18" w15:restartNumberingAfterBreak="0">
    <w:nsid w:val="3F3102DA"/>
    <w:multiLevelType w:val="hybridMultilevel"/>
    <w:tmpl w:val="D414B02E"/>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9" w15:restartNumberingAfterBreak="0">
    <w:nsid w:val="4010765E"/>
    <w:multiLevelType w:val="hybridMultilevel"/>
    <w:tmpl w:val="0EDE9ACE"/>
    <w:lvl w:ilvl="0" w:tplc="04260011">
      <w:start w:val="1"/>
      <w:numFmt w:val="decimal"/>
      <w:lvlText w:val="%1)"/>
      <w:lvlJc w:val="left"/>
      <w:pPr>
        <w:ind w:left="720" w:hanging="360"/>
      </w:pPr>
      <w:rPr>
        <w:rFonts w:cs="Times New Roman"/>
      </w:r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20" w15:restartNumberingAfterBreak="0">
    <w:nsid w:val="42307182"/>
    <w:multiLevelType w:val="multilevel"/>
    <w:tmpl w:val="3CF4DA6C"/>
    <w:lvl w:ilvl="0">
      <w:start w:val="1"/>
      <w:numFmt w:val="decimal"/>
      <w:lvlText w:val="%1."/>
      <w:lvlJc w:val="left"/>
      <w:pPr>
        <w:ind w:left="360" w:hanging="360"/>
      </w:pPr>
      <w:rPr>
        <w:rFonts w:hint="default"/>
      </w:rPr>
    </w:lvl>
    <w:lvl w:ilvl="1">
      <w:start w:val="1"/>
      <w:numFmt w:val="decimal"/>
      <w:lvlText w:val="%1.%2."/>
      <w:lvlJc w:val="left"/>
      <w:pPr>
        <w:ind w:left="1440" w:hanging="720"/>
      </w:pPr>
      <w:rPr>
        <w:rFonts w:hint="default"/>
        <w:b w:val="0"/>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560" w:hanging="1800"/>
      </w:pPr>
      <w:rPr>
        <w:rFonts w:hint="default"/>
      </w:rPr>
    </w:lvl>
  </w:abstractNum>
  <w:abstractNum w:abstractNumId="21" w15:restartNumberingAfterBreak="0">
    <w:nsid w:val="52276D41"/>
    <w:multiLevelType w:val="hybridMultilevel"/>
    <w:tmpl w:val="3BE6474E"/>
    <w:lvl w:ilvl="0" w:tplc="2EAE4D86">
      <w:start w:val="1"/>
      <w:numFmt w:val="decimal"/>
      <w:pStyle w:val="Heading3"/>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2" w15:restartNumberingAfterBreak="0">
    <w:nsid w:val="52A00BFB"/>
    <w:multiLevelType w:val="hybridMultilevel"/>
    <w:tmpl w:val="A6D829CA"/>
    <w:lvl w:ilvl="0" w:tplc="BE705A0A">
      <w:start w:val="1"/>
      <w:numFmt w:val="decimal"/>
      <w:pStyle w:val="Heading2"/>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3" w15:restartNumberingAfterBreak="0">
    <w:nsid w:val="55EA4A22"/>
    <w:multiLevelType w:val="hybridMultilevel"/>
    <w:tmpl w:val="9AD6ADDC"/>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24" w15:restartNumberingAfterBreak="0">
    <w:nsid w:val="57FE00E5"/>
    <w:multiLevelType w:val="hybridMultilevel"/>
    <w:tmpl w:val="0A1AEE6C"/>
    <w:lvl w:ilvl="0" w:tplc="A9D03BD6">
      <w:numFmt w:val="bullet"/>
      <w:lvlText w:val="-"/>
      <w:lvlJc w:val="left"/>
      <w:pPr>
        <w:ind w:left="720" w:hanging="360"/>
      </w:pPr>
      <w:rPr>
        <w:rFonts w:ascii="Book Antiqua" w:eastAsiaTheme="minorHAnsi" w:hAnsi="Book Antiqua"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5" w15:restartNumberingAfterBreak="0">
    <w:nsid w:val="5AD84F20"/>
    <w:multiLevelType w:val="hybridMultilevel"/>
    <w:tmpl w:val="B8B0B528"/>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6" w15:restartNumberingAfterBreak="0">
    <w:nsid w:val="5CAD1C86"/>
    <w:multiLevelType w:val="hybridMultilevel"/>
    <w:tmpl w:val="BE1A9E8A"/>
    <w:lvl w:ilvl="0" w:tplc="32E86240">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27" w15:restartNumberingAfterBreak="0">
    <w:nsid w:val="5E674F11"/>
    <w:multiLevelType w:val="hybridMultilevel"/>
    <w:tmpl w:val="2BEC68D8"/>
    <w:lvl w:ilvl="0" w:tplc="FE0CDFD0">
      <w:start w:val="1"/>
      <w:numFmt w:val="decimal"/>
      <w:pStyle w:val="Heading1"/>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8" w15:restartNumberingAfterBreak="0">
    <w:nsid w:val="61AF3401"/>
    <w:multiLevelType w:val="hybridMultilevel"/>
    <w:tmpl w:val="3C4EF826"/>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9" w15:restartNumberingAfterBreak="0">
    <w:nsid w:val="63C5438E"/>
    <w:multiLevelType w:val="hybridMultilevel"/>
    <w:tmpl w:val="25164368"/>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30" w15:restartNumberingAfterBreak="0">
    <w:nsid w:val="667C670C"/>
    <w:multiLevelType w:val="hybridMultilevel"/>
    <w:tmpl w:val="400C5CC6"/>
    <w:lvl w:ilvl="0" w:tplc="76C6234E">
      <w:start w:val="1"/>
      <w:numFmt w:val="decimal"/>
      <w:lvlText w:val="%1."/>
      <w:lvlJc w:val="left"/>
      <w:pPr>
        <w:ind w:left="927" w:hanging="360"/>
      </w:pPr>
      <w:rPr>
        <w:rFonts w:hint="default"/>
        <w:b w:val="0"/>
        <w:bCs/>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31" w15:restartNumberingAfterBreak="0">
    <w:nsid w:val="6809014C"/>
    <w:multiLevelType w:val="hybridMultilevel"/>
    <w:tmpl w:val="D5DAC07A"/>
    <w:lvl w:ilvl="0" w:tplc="1D161A56">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32" w15:restartNumberingAfterBreak="0">
    <w:nsid w:val="68541EF5"/>
    <w:multiLevelType w:val="hybridMultilevel"/>
    <w:tmpl w:val="EC9CBEDC"/>
    <w:lvl w:ilvl="0" w:tplc="91D06C16">
      <w:start w:val="1"/>
      <w:numFmt w:val="decimal"/>
      <w:lvlText w:val="%1."/>
      <w:lvlJc w:val="left"/>
      <w:pPr>
        <w:ind w:left="720" w:hanging="360"/>
      </w:pPr>
      <w:rPr>
        <w:b w:val="0"/>
      </w:rPr>
    </w:lvl>
    <w:lvl w:ilvl="1" w:tplc="4C56DF4C">
      <w:start w:val="1"/>
      <w:numFmt w:val="decimal"/>
      <w:lvlText w:val="%2)"/>
      <w:lvlJc w:val="left"/>
      <w:pPr>
        <w:tabs>
          <w:tab w:val="num" w:pos="1440"/>
        </w:tabs>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33" w15:restartNumberingAfterBreak="0">
    <w:nsid w:val="70037094"/>
    <w:multiLevelType w:val="hybridMultilevel"/>
    <w:tmpl w:val="4F5C0542"/>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4" w15:restartNumberingAfterBreak="0">
    <w:nsid w:val="71EB1B53"/>
    <w:multiLevelType w:val="hybridMultilevel"/>
    <w:tmpl w:val="45BA6944"/>
    <w:lvl w:ilvl="0" w:tplc="44E219BA">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35" w15:restartNumberingAfterBreak="0">
    <w:nsid w:val="71FA5A27"/>
    <w:multiLevelType w:val="hybridMultilevel"/>
    <w:tmpl w:val="A7889420"/>
    <w:lvl w:ilvl="0" w:tplc="10AE46CE">
      <w:numFmt w:val="bullet"/>
      <w:lvlText w:val="-"/>
      <w:lvlJc w:val="left"/>
      <w:pPr>
        <w:ind w:left="1320" w:hanging="360"/>
      </w:pPr>
      <w:rPr>
        <w:rFonts w:ascii="Book Antiqua" w:eastAsia="Times New Roman" w:hAnsi="Book Antiqua" w:cs="Times New Roman" w:hint="default"/>
      </w:rPr>
    </w:lvl>
    <w:lvl w:ilvl="1" w:tplc="04260003" w:tentative="1">
      <w:start w:val="1"/>
      <w:numFmt w:val="bullet"/>
      <w:lvlText w:val="o"/>
      <w:lvlJc w:val="left"/>
      <w:pPr>
        <w:ind w:left="1830" w:hanging="360"/>
      </w:pPr>
      <w:rPr>
        <w:rFonts w:ascii="Courier New" w:hAnsi="Courier New" w:cs="Courier New" w:hint="default"/>
      </w:rPr>
    </w:lvl>
    <w:lvl w:ilvl="2" w:tplc="04260005" w:tentative="1">
      <w:start w:val="1"/>
      <w:numFmt w:val="bullet"/>
      <w:lvlText w:val=""/>
      <w:lvlJc w:val="left"/>
      <w:pPr>
        <w:ind w:left="2550" w:hanging="360"/>
      </w:pPr>
      <w:rPr>
        <w:rFonts w:ascii="Wingdings" w:hAnsi="Wingdings" w:hint="default"/>
      </w:rPr>
    </w:lvl>
    <w:lvl w:ilvl="3" w:tplc="04260001" w:tentative="1">
      <w:start w:val="1"/>
      <w:numFmt w:val="bullet"/>
      <w:lvlText w:val=""/>
      <w:lvlJc w:val="left"/>
      <w:pPr>
        <w:ind w:left="3270" w:hanging="360"/>
      </w:pPr>
      <w:rPr>
        <w:rFonts w:ascii="Symbol" w:hAnsi="Symbol" w:hint="default"/>
      </w:rPr>
    </w:lvl>
    <w:lvl w:ilvl="4" w:tplc="04260003" w:tentative="1">
      <w:start w:val="1"/>
      <w:numFmt w:val="bullet"/>
      <w:lvlText w:val="o"/>
      <w:lvlJc w:val="left"/>
      <w:pPr>
        <w:ind w:left="3990" w:hanging="360"/>
      </w:pPr>
      <w:rPr>
        <w:rFonts w:ascii="Courier New" w:hAnsi="Courier New" w:cs="Courier New" w:hint="default"/>
      </w:rPr>
    </w:lvl>
    <w:lvl w:ilvl="5" w:tplc="04260005" w:tentative="1">
      <w:start w:val="1"/>
      <w:numFmt w:val="bullet"/>
      <w:lvlText w:val=""/>
      <w:lvlJc w:val="left"/>
      <w:pPr>
        <w:ind w:left="4710" w:hanging="360"/>
      </w:pPr>
      <w:rPr>
        <w:rFonts w:ascii="Wingdings" w:hAnsi="Wingdings" w:hint="default"/>
      </w:rPr>
    </w:lvl>
    <w:lvl w:ilvl="6" w:tplc="04260001" w:tentative="1">
      <w:start w:val="1"/>
      <w:numFmt w:val="bullet"/>
      <w:lvlText w:val=""/>
      <w:lvlJc w:val="left"/>
      <w:pPr>
        <w:ind w:left="5430" w:hanging="360"/>
      </w:pPr>
      <w:rPr>
        <w:rFonts w:ascii="Symbol" w:hAnsi="Symbol" w:hint="default"/>
      </w:rPr>
    </w:lvl>
    <w:lvl w:ilvl="7" w:tplc="04260003" w:tentative="1">
      <w:start w:val="1"/>
      <w:numFmt w:val="bullet"/>
      <w:lvlText w:val="o"/>
      <w:lvlJc w:val="left"/>
      <w:pPr>
        <w:ind w:left="6150" w:hanging="360"/>
      </w:pPr>
      <w:rPr>
        <w:rFonts w:ascii="Courier New" w:hAnsi="Courier New" w:cs="Courier New" w:hint="default"/>
      </w:rPr>
    </w:lvl>
    <w:lvl w:ilvl="8" w:tplc="04260005" w:tentative="1">
      <w:start w:val="1"/>
      <w:numFmt w:val="bullet"/>
      <w:lvlText w:val=""/>
      <w:lvlJc w:val="left"/>
      <w:pPr>
        <w:ind w:left="6870" w:hanging="360"/>
      </w:pPr>
      <w:rPr>
        <w:rFonts w:ascii="Wingdings" w:hAnsi="Wingdings" w:hint="default"/>
      </w:rPr>
    </w:lvl>
  </w:abstractNum>
  <w:abstractNum w:abstractNumId="36" w15:restartNumberingAfterBreak="0">
    <w:nsid w:val="73E0316A"/>
    <w:multiLevelType w:val="hybridMultilevel"/>
    <w:tmpl w:val="43546F62"/>
    <w:lvl w:ilvl="0" w:tplc="AEF218FE">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37" w15:restartNumberingAfterBreak="0">
    <w:nsid w:val="79F27AFD"/>
    <w:multiLevelType w:val="hybridMultilevel"/>
    <w:tmpl w:val="F8B8530A"/>
    <w:lvl w:ilvl="0" w:tplc="76D40848">
      <w:start w:val="2"/>
      <w:numFmt w:val="decimal"/>
      <w:lvlText w:val="%1."/>
      <w:lvlJc w:val="left"/>
      <w:pPr>
        <w:ind w:left="108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8" w15:restartNumberingAfterBreak="0">
    <w:nsid w:val="7B036B5B"/>
    <w:multiLevelType w:val="hybridMultilevel"/>
    <w:tmpl w:val="9712089E"/>
    <w:lvl w:ilvl="0" w:tplc="04260001">
      <w:start w:val="1"/>
      <w:numFmt w:val="bullet"/>
      <w:lvlText w:val=""/>
      <w:lvlJc w:val="left"/>
      <w:pPr>
        <w:ind w:left="4755" w:hanging="360"/>
      </w:pPr>
      <w:rPr>
        <w:rFonts w:ascii="Symbol" w:hAnsi="Symbol" w:hint="default"/>
      </w:rPr>
    </w:lvl>
    <w:lvl w:ilvl="1" w:tplc="04260003" w:tentative="1">
      <w:start w:val="1"/>
      <w:numFmt w:val="bullet"/>
      <w:lvlText w:val="o"/>
      <w:lvlJc w:val="left"/>
      <w:pPr>
        <w:ind w:left="5475" w:hanging="360"/>
      </w:pPr>
      <w:rPr>
        <w:rFonts w:ascii="Courier New" w:hAnsi="Courier New" w:cs="Courier New" w:hint="default"/>
      </w:rPr>
    </w:lvl>
    <w:lvl w:ilvl="2" w:tplc="04260005" w:tentative="1">
      <w:start w:val="1"/>
      <w:numFmt w:val="bullet"/>
      <w:lvlText w:val=""/>
      <w:lvlJc w:val="left"/>
      <w:pPr>
        <w:ind w:left="6195" w:hanging="360"/>
      </w:pPr>
      <w:rPr>
        <w:rFonts w:ascii="Wingdings" w:hAnsi="Wingdings" w:hint="default"/>
      </w:rPr>
    </w:lvl>
    <w:lvl w:ilvl="3" w:tplc="04260001" w:tentative="1">
      <w:start w:val="1"/>
      <w:numFmt w:val="bullet"/>
      <w:lvlText w:val=""/>
      <w:lvlJc w:val="left"/>
      <w:pPr>
        <w:ind w:left="6915" w:hanging="360"/>
      </w:pPr>
      <w:rPr>
        <w:rFonts w:ascii="Symbol" w:hAnsi="Symbol" w:hint="default"/>
      </w:rPr>
    </w:lvl>
    <w:lvl w:ilvl="4" w:tplc="04260003" w:tentative="1">
      <w:start w:val="1"/>
      <w:numFmt w:val="bullet"/>
      <w:lvlText w:val="o"/>
      <w:lvlJc w:val="left"/>
      <w:pPr>
        <w:ind w:left="7635" w:hanging="360"/>
      </w:pPr>
      <w:rPr>
        <w:rFonts w:ascii="Courier New" w:hAnsi="Courier New" w:cs="Courier New" w:hint="default"/>
      </w:rPr>
    </w:lvl>
    <w:lvl w:ilvl="5" w:tplc="04260005" w:tentative="1">
      <w:start w:val="1"/>
      <w:numFmt w:val="bullet"/>
      <w:lvlText w:val=""/>
      <w:lvlJc w:val="left"/>
      <w:pPr>
        <w:ind w:left="8355" w:hanging="360"/>
      </w:pPr>
      <w:rPr>
        <w:rFonts w:ascii="Wingdings" w:hAnsi="Wingdings" w:hint="default"/>
      </w:rPr>
    </w:lvl>
    <w:lvl w:ilvl="6" w:tplc="04260001" w:tentative="1">
      <w:start w:val="1"/>
      <w:numFmt w:val="bullet"/>
      <w:lvlText w:val=""/>
      <w:lvlJc w:val="left"/>
      <w:pPr>
        <w:ind w:left="9075" w:hanging="360"/>
      </w:pPr>
      <w:rPr>
        <w:rFonts w:ascii="Symbol" w:hAnsi="Symbol" w:hint="default"/>
      </w:rPr>
    </w:lvl>
    <w:lvl w:ilvl="7" w:tplc="04260003" w:tentative="1">
      <w:start w:val="1"/>
      <w:numFmt w:val="bullet"/>
      <w:lvlText w:val="o"/>
      <w:lvlJc w:val="left"/>
      <w:pPr>
        <w:ind w:left="9795" w:hanging="360"/>
      </w:pPr>
      <w:rPr>
        <w:rFonts w:ascii="Courier New" w:hAnsi="Courier New" w:cs="Courier New" w:hint="default"/>
      </w:rPr>
    </w:lvl>
    <w:lvl w:ilvl="8" w:tplc="04260005" w:tentative="1">
      <w:start w:val="1"/>
      <w:numFmt w:val="bullet"/>
      <w:lvlText w:val=""/>
      <w:lvlJc w:val="left"/>
      <w:pPr>
        <w:ind w:left="10515" w:hanging="360"/>
      </w:pPr>
      <w:rPr>
        <w:rFonts w:ascii="Wingdings" w:hAnsi="Wingdings" w:hint="default"/>
      </w:rPr>
    </w:lvl>
  </w:abstractNum>
  <w:abstractNum w:abstractNumId="39" w15:restartNumberingAfterBreak="0">
    <w:nsid w:val="7DF03842"/>
    <w:multiLevelType w:val="hybridMultilevel"/>
    <w:tmpl w:val="AE163382"/>
    <w:lvl w:ilvl="0" w:tplc="7F962BC0">
      <w:start w:val="1"/>
      <w:numFmt w:val="decimal"/>
      <w:lvlText w:val="%1."/>
      <w:lvlJc w:val="left"/>
      <w:pPr>
        <w:ind w:left="720" w:hanging="360"/>
      </w:pPr>
      <w:rPr>
        <w:b w:val="0"/>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num w:numId="1">
    <w:abstractNumId w:val="27"/>
  </w:num>
  <w:num w:numId="2">
    <w:abstractNumId w:val="22"/>
  </w:num>
  <w:num w:numId="3">
    <w:abstractNumId w:val="21"/>
  </w:num>
  <w:num w:numId="4">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
  </w:num>
  <w:num w:numId="6">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19"/>
  </w:num>
  <w:num w:numId="9">
    <w:abstractNumId w:val="11"/>
  </w:num>
  <w:num w:numId="10">
    <w:abstractNumId w:val="9"/>
  </w:num>
  <w:num w:numId="11">
    <w:abstractNumId w:val="18"/>
  </w:num>
  <w:num w:numId="12">
    <w:abstractNumId w:val="25"/>
  </w:num>
  <w:num w:numId="13">
    <w:abstractNumId w:val="16"/>
  </w:num>
  <w:num w:numId="14">
    <w:abstractNumId w:val="20"/>
  </w:num>
  <w:num w:numId="15">
    <w:abstractNumId w:val="3"/>
  </w:num>
  <w:num w:numId="16">
    <w:abstractNumId w:val="5"/>
  </w:num>
  <w:num w:numId="17">
    <w:abstractNumId w:val="2"/>
  </w:num>
  <w:num w:numId="18">
    <w:abstractNumId w:val="38"/>
  </w:num>
  <w:num w:numId="19">
    <w:abstractNumId w:val="34"/>
  </w:num>
  <w:num w:numId="20">
    <w:abstractNumId w:val="28"/>
  </w:num>
  <w:num w:numId="21">
    <w:abstractNumId w:val="30"/>
  </w:num>
  <w:num w:numId="22">
    <w:abstractNumId w:val="17"/>
  </w:num>
  <w:num w:numId="23">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3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13"/>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7"/>
  </w:num>
  <w:num w:numId="28">
    <w:abstractNumId w:val="33"/>
  </w:num>
  <w:num w:numId="29">
    <w:abstractNumId w:val="8"/>
  </w:num>
  <w:num w:numId="30">
    <w:abstractNumId w:val="0"/>
  </w:num>
  <w:num w:numId="31">
    <w:abstractNumId w:val="15"/>
  </w:num>
  <w:num w:numId="32">
    <w:abstractNumId w:val="35"/>
  </w:num>
  <w:num w:numId="33">
    <w:abstractNumId w:val="12"/>
  </w:num>
  <w:num w:numId="34">
    <w:abstractNumId w:val="10"/>
  </w:num>
  <w:num w:numId="35">
    <w:abstractNumId w:val="24"/>
  </w:num>
  <w:num w:numId="36">
    <w:abstractNumId w:val="36"/>
  </w:num>
  <w:num w:numId="37">
    <w:abstractNumId w:val="6"/>
  </w:num>
  <w:num w:numId="38">
    <w:abstractNumId w:val="4"/>
  </w:num>
  <w:num w:numId="39">
    <w:abstractNumId w:val="37"/>
  </w:num>
  <w:num w:numId="40">
    <w:abstractNumId w:val="26"/>
  </w:num>
  <w:num w:numId="41">
    <w:abstractNumId w:val="3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attachedTemplate r:id="rId1"/>
  <w:defaultTabStop w:val="567"/>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71088"/>
    <w:rsid w:val="00001FB1"/>
    <w:rsid w:val="000051EB"/>
    <w:rsid w:val="000057D2"/>
    <w:rsid w:val="000075C3"/>
    <w:rsid w:val="00011DEB"/>
    <w:rsid w:val="00011F83"/>
    <w:rsid w:val="000134E2"/>
    <w:rsid w:val="0001454F"/>
    <w:rsid w:val="00014843"/>
    <w:rsid w:val="00017483"/>
    <w:rsid w:val="00017A99"/>
    <w:rsid w:val="00022F98"/>
    <w:rsid w:val="00023AE9"/>
    <w:rsid w:val="000245C0"/>
    <w:rsid w:val="00025087"/>
    <w:rsid w:val="000258BA"/>
    <w:rsid w:val="00030EE8"/>
    <w:rsid w:val="000317E4"/>
    <w:rsid w:val="00033006"/>
    <w:rsid w:val="00033D83"/>
    <w:rsid w:val="00034F46"/>
    <w:rsid w:val="00036258"/>
    <w:rsid w:val="0003649F"/>
    <w:rsid w:val="00036CAF"/>
    <w:rsid w:val="00040346"/>
    <w:rsid w:val="00041244"/>
    <w:rsid w:val="00041724"/>
    <w:rsid w:val="0004360C"/>
    <w:rsid w:val="00043EAB"/>
    <w:rsid w:val="00044CE5"/>
    <w:rsid w:val="00050F7F"/>
    <w:rsid w:val="000514AD"/>
    <w:rsid w:val="000518B8"/>
    <w:rsid w:val="000528AD"/>
    <w:rsid w:val="00054229"/>
    <w:rsid w:val="00054B25"/>
    <w:rsid w:val="00054FD5"/>
    <w:rsid w:val="0005555A"/>
    <w:rsid w:val="00055D75"/>
    <w:rsid w:val="00056AED"/>
    <w:rsid w:val="000572C2"/>
    <w:rsid w:val="00060F68"/>
    <w:rsid w:val="00060FBE"/>
    <w:rsid w:val="000627E1"/>
    <w:rsid w:val="000634F6"/>
    <w:rsid w:val="00064023"/>
    <w:rsid w:val="000652A1"/>
    <w:rsid w:val="00065B93"/>
    <w:rsid w:val="00065C67"/>
    <w:rsid w:val="00065C6D"/>
    <w:rsid w:val="00066346"/>
    <w:rsid w:val="0007185F"/>
    <w:rsid w:val="00071A03"/>
    <w:rsid w:val="00072452"/>
    <w:rsid w:val="000728AD"/>
    <w:rsid w:val="00073E9C"/>
    <w:rsid w:val="0007695A"/>
    <w:rsid w:val="00077A50"/>
    <w:rsid w:val="000805C8"/>
    <w:rsid w:val="00080AD8"/>
    <w:rsid w:val="00082E4E"/>
    <w:rsid w:val="00085430"/>
    <w:rsid w:val="00090595"/>
    <w:rsid w:val="000913C6"/>
    <w:rsid w:val="000943F2"/>
    <w:rsid w:val="00095F00"/>
    <w:rsid w:val="00097306"/>
    <w:rsid w:val="000A0363"/>
    <w:rsid w:val="000A18A0"/>
    <w:rsid w:val="000A23B5"/>
    <w:rsid w:val="000A242A"/>
    <w:rsid w:val="000A2CF7"/>
    <w:rsid w:val="000A537A"/>
    <w:rsid w:val="000A5642"/>
    <w:rsid w:val="000A7C15"/>
    <w:rsid w:val="000B0E74"/>
    <w:rsid w:val="000C1598"/>
    <w:rsid w:val="000C178A"/>
    <w:rsid w:val="000C39FD"/>
    <w:rsid w:val="000C47A4"/>
    <w:rsid w:val="000C4A34"/>
    <w:rsid w:val="000C73FE"/>
    <w:rsid w:val="000D05E6"/>
    <w:rsid w:val="000D13D4"/>
    <w:rsid w:val="000D2D60"/>
    <w:rsid w:val="000D49DF"/>
    <w:rsid w:val="000D65B0"/>
    <w:rsid w:val="000E1BB8"/>
    <w:rsid w:val="000E568E"/>
    <w:rsid w:val="000E7E36"/>
    <w:rsid w:val="000F1844"/>
    <w:rsid w:val="000F1AF2"/>
    <w:rsid w:val="000F258F"/>
    <w:rsid w:val="000F3676"/>
    <w:rsid w:val="000F3CA8"/>
    <w:rsid w:val="000F5394"/>
    <w:rsid w:val="000F6057"/>
    <w:rsid w:val="000F6C14"/>
    <w:rsid w:val="000F7F31"/>
    <w:rsid w:val="00100065"/>
    <w:rsid w:val="00100B40"/>
    <w:rsid w:val="00101CB1"/>
    <w:rsid w:val="00102769"/>
    <w:rsid w:val="001056C9"/>
    <w:rsid w:val="0010701D"/>
    <w:rsid w:val="001101B9"/>
    <w:rsid w:val="001120B1"/>
    <w:rsid w:val="0011275C"/>
    <w:rsid w:val="001138CB"/>
    <w:rsid w:val="001149B0"/>
    <w:rsid w:val="00116D45"/>
    <w:rsid w:val="00117C9A"/>
    <w:rsid w:val="00117CD2"/>
    <w:rsid w:val="00122B0F"/>
    <w:rsid w:val="001237D4"/>
    <w:rsid w:val="001239FD"/>
    <w:rsid w:val="00123AA8"/>
    <w:rsid w:val="00126B92"/>
    <w:rsid w:val="00126D71"/>
    <w:rsid w:val="001310D4"/>
    <w:rsid w:val="00133270"/>
    <w:rsid w:val="00137086"/>
    <w:rsid w:val="00144A59"/>
    <w:rsid w:val="00144BB9"/>
    <w:rsid w:val="00150A43"/>
    <w:rsid w:val="0015111D"/>
    <w:rsid w:val="001529CC"/>
    <w:rsid w:val="00153D1F"/>
    <w:rsid w:val="00153E2D"/>
    <w:rsid w:val="00154CC7"/>
    <w:rsid w:val="00157339"/>
    <w:rsid w:val="00160109"/>
    <w:rsid w:val="00160CC2"/>
    <w:rsid w:val="001663A7"/>
    <w:rsid w:val="001700D4"/>
    <w:rsid w:val="00171088"/>
    <w:rsid w:val="00172E66"/>
    <w:rsid w:val="0017561C"/>
    <w:rsid w:val="00176D52"/>
    <w:rsid w:val="00177C30"/>
    <w:rsid w:val="00182468"/>
    <w:rsid w:val="001833D5"/>
    <w:rsid w:val="00183738"/>
    <w:rsid w:val="001853F5"/>
    <w:rsid w:val="00185968"/>
    <w:rsid w:val="00185A23"/>
    <w:rsid w:val="00185C69"/>
    <w:rsid w:val="00185E74"/>
    <w:rsid w:val="001878D4"/>
    <w:rsid w:val="00190442"/>
    <w:rsid w:val="001906CF"/>
    <w:rsid w:val="0019074C"/>
    <w:rsid w:val="00190D90"/>
    <w:rsid w:val="0019141F"/>
    <w:rsid w:val="001968E0"/>
    <w:rsid w:val="001A00B9"/>
    <w:rsid w:val="001A1BB2"/>
    <w:rsid w:val="001A29E5"/>
    <w:rsid w:val="001A318C"/>
    <w:rsid w:val="001A4402"/>
    <w:rsid w:val="001A6C08"/>
    <w:rsid w:val="001B0B3B"/>
    <w:rsid w:val="001B2B19"/>
    <w:rsid w:val="001B5040"/>
    <w:rsid w:val="001B7489"/>
    <w:rsid w:val="001B74B6"/>
    <w:rsid w:val="001C0ABB"/>
    <w:rsid w:val="001C271B"/>
    <w:rsid w:val="001C4610"/>
    <w:rsid w:val="001C7C55"/>
    <w:rsid w:val="001D1328"/>
    <w:rsid w:val="001D30F2"/>
    <w:rsid w:val="001D4C83"/>
    <w:rsid w:val="001D5DA4"/>
    <w:rsid w:val="001D64C0"/>
    <w:rsid w:val="001D6981"/>
    <w:rsid w:val="001D6DB8"/>
    <w:rsid w:val="001E056A"/>
    <w:rsid w:val="001E1CFF"/>
    <w:rsid w:val="001E1EEA"/>
    <w:rsid w:val="001E25EE"/>
    <w:rsid w:val="001E3117"/>
    <w:rsid w:val="001E5E32"/>
    <w:rsid w:val="001E64E8"/>
    <w:rsid w:val="001E6914"/>
    <w:rsid w:val="001E6D37"/>
    <w:rsid w:val="001F1317"/>
    <w:rsid w:val="001F36B6"/>
    <w:rsid w:val="001F4E26"/>
    <w:rsid w:val="001F7665"/>
    <w:rsid w:val="001F7CAB"/>
    <w:rsid w:val="00200E78"/>
    <w:rsid w:val="00201F7E"/>
    <w:rsid w:val="00202512"/>
    <w:rsid w:val="002054A5"/>
    <w:rsid w:val="00211437"/>
    <w:rsid w:val="002116E2"/>
    <w:rsid w:val="00211CB1"/>
    <w:rsid w:val="00212899"/>
    <w:rsid w:val="00213FCE"/>
    <w:rsid w:val="0021439E"/>
    <w:rsid w:val="00214913"/>
    <w:rsid w:val="00217DE9"/>
    <w:rsid w:val="0022119E"/>
    <w:rsid w:val="0022177A"/>
    <w:rsid w:val="00221ADF"/>
    <w:rsid w:val="002257D5"/>
    <w:rsid w:val="00230A58"/>
    <w:rsid w:val="00230D1F"/>
    <w:rsid w:val="00232FA5"/>
    <w:rsid w:val="00234B6A"/>
    <w:rsid w:val="00235FDE"/>
    <w:rsid w:val="00236DD6"/>
    <w:rsid w:val="002413D0"/>
    <w:rsid w:val="002469D3"/>
    <w:rsid w:val="00250E94"/>
    <w:rsid w:val="00250FD0"/>
    <w:rsid w:val="00251757"/>
    <w:rsid w:val="00252587"/>
    <w:rsid w:val="00254DD3"/>
    <w:rsid w:val="00256951"/>
    <w:rsid w:val="00260F1F"/>
    <w:rsid w:val="0026259F"/>
    <w:rsid w:val="00262A06"/>
    <w:rsid w:val="002656DA"/>
    <w:rsid w:val="0026576F"/>
    <w:rsid w:val="00265B01"/>
    <w:rsid w:val="002661F9"/>
    <w:rsid w:val="00266FD1"/>
    <w:rsid w:val="0026797A"/>
    <w:rsid w:val="00270CFA"/>
    <w:rsid w:val="002713A2"/>
    <w:rsid w:val="00271D32"/>
    <w:rsid w:val="00274CFD"/>
    <w:rsid w:val="00275B8C"/>
    <w:rsid w:val="00277810"/>
    <w:rsid w:val="00285571"/>
    <w:rsid w:val="00290A37"/>
    <w:rsid w:val="00291528"/>
    <w:rsid w:val="00292552"/>
    <w:rsid w:val="002936D3"/>
    <w:rsid w:val="00293A36"/>
    <w:rsid w:val="0029417B"/>
    <w:rsid w:val="00294305"/>
    <w:rsid w:val="00297A58"/>
    <w:rsid w:val="002A2872"/>
    <w:rsid w:val="002A2C72"/>
    <w:rsid w:val="002A36DC"/>
    <w:rsid w:val="002A772C"/>
    <w:rsid w:val="002B0160"/>
    <w:rsid w:val="002B393F"/>
    <w:rsid w:val="002B4019"/>
    <w:rsid w:val="002C1420"/>
    <w:rsid w:val="002C14D5"/>
    <w:rsid w:val="002C1B87"/>
    <w:rsid w:val="002C2E3A"/>
    <w:rsid w:val="002C5DA9"/>
    <w:rsid w:val="002C78D5"/>
    <w:rsid w:val="002C7F6C"/>
    <w:rsid w:val="002D36A6"/>
    <w:rsid w:val="002D4308"/>
    <w:rsid w:val="002D58CA"/>
    <w:rsid w:val="002D5A91"/>
    <w:rsid w:val="002D5AB0"/>
    <w:rsid w:val="002D70A2"/>
    <w:rsid w:val="002E06DF"/>
    <w:rsid w:val="002E50AB"/>
    <w:rsid w:val="002E5336"/>
    <w:rsid w:val="002E53A5"/>
    <w:rsid w:val="002E5E6B"/>
    <w:rsid w:val="002E5FCE"/>
    <w:rsid w:val="002E6397"/>
    <w:rsid w:val="002E6F78"/>
    <w:rsid w:val="002F15FF"/>
    <w:rsid w:val="002F1F3C"/>
    <w:rsid w:val="002F31A2"/>
    <w:rsid w:val="002F474A"/>
    <w:rsid w:val="002F586D"/>
    <w:rsid w:val="002F7882"/>
    <w:rsid w:val="00305FA1"/>
    <w:rsid w:val="003070A6"/>
    <w:rsid w:val="003070AC"/>
    <w:rsid w:val="0030722F"/>
    <w:rsid w:val="0030739A"/>
    <w:rsid w:val="00313D09"/>
    <w:rsid w:val="00316D4C"/>
    <w:rsid w:val="00317E10"/>
    <w:rsid w:val="00320649"/>
    <w:rsid w:val="00322DE3"/>
    <w:rsid w:val="003244D8"/>
    <w:rsid w:val="0032524C"/>
    <w:rsid w:val="00325300"/>
    <w:rsid w:val="003255A1"/>
    <w:rsid w:val="003255C3"/>
    <w:rsid w:val="00325D32"/>
    <w:rsid w:val="003262DB"/>
    <w:rsid w:val="00326DFA"/>
    <w:rsid w:val="00330B72"/>
    <w:rsid w:val="003318A1"/>
    <w:rsid w:val="00333FD4"/>
    <w:rsid w:val="003347F6"/>
    <w:rsid w:val="0033638C"/>
    <w:rsid w:val="0033640C"/>
    <w:rsid w:val="00337269"/>
    <w:rsid w:val="003407BE"/>
    <w:rsid w:val="003409C2"/>
    <w:rsid w:val="00341825"/>
    <w:rsid w:val="00342A0D"/>
    <w:rsid w:val="00343B0B"/>
    <w:rsid w:val="003467E1"/>
    <w:rsid w:val="00346F57"/>
    <w:rsid w:val="003474B8"/>
    <w:rsid w:val="00350697"/>
    <w:rsid w:val="003509FE"/>
    <w:rsid w:val="00352472"/>
    <w:rsid w:val="00353704"/>
    <w:rsid w:val="00356007"/>
    <w:rsid w:val="0035604F"/>
    <w:rsid w:val="003569D1"/>
    <w:rsid w:val="00362574"/>
    <w:rsid w:val="00362611"/>
    <w:rsid w:val="00362922"/>
    <w:rsid w:val="00363078"/>
    <w:rsid w:val="00365422"/>
    <w:rsid w:val="00365F4C"/>
    <w:rsid w:val="003672D0"/>
    <w:rsid w:val="003704FE"/>
    <w:rsid w:val="00370C1A"/>
    <w:rsid w:val="003710D9"/>
    <w:rsid w:val="00374A22"/>
    <w:rsid w:val="00374BB1"/>
    <w:rsid w:val="0037555C"/>
    <w:rsid w:val="00375990"/>
    <w:rsid w:val="00375BA4"/>
    <w:rsid w:val="0037625F"/>
    <w:rsid w:val="00381573"/>
    <w:rsid w:val="00383686"/>
    <w:rsid w:val="003836F2"/>
    <w:rsid w:val="0038509D"/>
    <w:rsid w:val="003856F6"/>
    <w:rsid w:val="00386776"/>
    <w:rsid w:val="003925A5"/>
    <w:rsid w:val="00392678"/>
    <w:rsid w:val="00392EC2"/>
    <w:rsid w:val="00393A71"/>
    <w:rsid w:val="00393B54"/>
    <w:rsid w:val="0039470E"/>
    <w:rsid w:val="0039478F"/>
    <w:rsid w:val="00395D1F"/>
    <w:rsid w:val="003A09BF"/>
    <w:rsid w:val="003A2D8C"/>
    <w:rsid w:val="003A48AC"/>
    <w:rsid w:val="003A533D"/>
    <w:rsid w:val="003A68A0"/>
    <w:rsid w:val="003B13A9"/>
    <w:rsid w:val="003B726C"/>
    <w:rsid w:val="003B78F1"/>
    <w:rsid w:val="003C07C1"/>
    <w:rsid w:val="003C2C9B"/>
    <w:rsid w:val="003C5AEB"/>
    <w:rsid w:val="003C6A06"/>
    <w:rsid w:val="003C6D81"/>
    <w:rsid w:val="003D05C0"/>
    <w:rsid w:val="003D20C8"/>
    <w:rsid w:val="003D28F2"/>
    <w:rsid w:val="003D2BA4"/>
    <w:rsid w:val="003D2F70"/>
    <w:rsid w:val="003D7E64"/>
    <w:rsid w:val="003E0649"/>
    <w:rsid w:val="003E21D2"/>
    <w:rsid w:val="003E2F08"/>
    <w:rsid w:val="003E3269"/>
    <w:rsid w:val="003E39C2"/>
    <w:rsid w:val="003E56CB"/>
    <w:rsid w:val="003E74E8"/>
    <w:rsid w:val="003F0B9C"/>
    <w:rsid w:val="003F2141"/>
    <w:rsid w:val="003F2296"/>
    <w:rsid w:val="003F2B77"/>
    <w:rsid w:val="003F3069"/>
    <w:rsid w:val="003F309E"/>
    <w:rsid w:val="003F32C7"/>
    <w:rsid w:val="003F3FE0"/>
    <w:rsid w:val="003F4F8F"/>
    <w:rsid w:val="003F523E"/>
    <w:rsid w:val="003F6395"/>
    <w:rsid w:val="003F6B72"/>
    <w:rsid w:val="0040153D"/>
    <w:rsid w:val="0040168A"/>
    <w:rsid w:val="00401CC7"/>
    <w:rsid w:val="00401DAD"/>
    <w:rsid w:val="00401F4C"/>
    <w:rsid w:val="0040209B"/>
    <w:rsid w:val="00403B9D"/>
    <w:rsid w:val="00403E5D"/>
    <w:rsid w:val="00405611"/>
    <w:rsid w:val="00406C18"/>
    <w:rsid w:val="00410306"/>
    <w:rsid w:val="00410C7F"/>
    <w:rsid w:val="004127C4"/>
    <w:rsid w:val="004143A6"/>
    <w:rsid w:val="00414729"/>
    <w:rsid w:val="0041578C"/>
    <w:rsid w:val="00417742"/>
    <w:rsid w:val="00417A36"/>
    <w:rsid w:val="0042271E"/>
    <w:rsid w:val="00422757"/>
    <w:rsid w:val="00423834"/>
    <w:rsid w:val="00424CCD"/>
    <w:rsid w:val="00426B37"/>
    <w:rsid w:val="00430C54"/>
    <w:rsid w:val="00431158"/>
    <w:rsid w:val="00431656"/>
    <w:rsid w:val="00431B8A"/>
    <w:rsid w:val="00434815"/>
    <w:rsid w:val="004403E5"/>
    <w:rsid w:val="00442758"/>
    <w:rsid w:val="00442936"/>
    <w:rsid w:val="0044375E"/>
    <w:rsid w:val="00443E32"/>
    <w:rsid w:val="00445094"/>
    <w:rsid w:val="0044647F"/>
    <w:rsid w:val="00446543"/>
    <w:rsid w:val="00447B7B"/>
    <w:rsid w:val="00450E18"/>
    <w:rsid w:val="00452A3B"/>
    <w:rsid w:val="004535AE"/>
    <w:rsid w:val="00453CDA"/>
    <w:rsid w:val="004549D0"/>
    <w:rsid w:val="00454F91"/>
    <w:rsid w:val="00455944"/>
    <w:rsid w:val="00455EBA"/>
    <w:rsid w:val="00457021"/>
    <w:rsid w:val="00462317"/>
    <w:rsid w:val="004625B8"/>
    <w:rsid w:val="004629B0"/>
    <w:rsid w:val="0046474B"/>
    <w:rsid w:val="00465003"/>
    <w:rsid w:val="004654AA"/>
    <w:rsid w:val="00471838"/>
    <w:rsid w:val="00472024"/>
    <w:rsid w:val="00472E37"/>
    <w:rsid w:val="00473E22"/>
    <w:rsid w:val="004755F5"/>
    <w:rsid w:val="00475782"/>
    <w:rsid w:val="004760BD"/>
    <w:rsid w:val="0047788D"/>
    <w:rsid w:val="00482A2C"/>
    <w:rsid w:val="00485AFE"/>
    <w:rsid w:val="004862A8"/>
    <w:rsid w:val="004864ED"/>
    <w:rsid w:val="004868D9"/>
    <w:rsid w:val="00486FD0"/>
    <w:rsid w:val="00487028"/>
    <w:rsid w:val="00487719"/>
    <w:rsid w:val="00490434"/>
    <w:rsid w:val="00490DF5"/>
    <w:rsid w:val="00493723"/>
    <w:rsid w:val="004937BD"/>
    <w:rsid w:val="00493DA8"/>
    <w:rsid w:val="00494738"/>
    <w:rsid w:val="00497235"/>
    <w:rsid w:val="004972B1"/>
    <w:rsid w:val="004A17E7"/>
    <w:rsid w:val="004A1B69"/>
    <w:rsid w:val="004A38FD"/>
    <w:rsid w:val="004A6276"/>
    <w:rsid w:val="004B0F8E"/>
    <w:rsid w:val="004B16B6"/>
    <w:rsid w:val="004B4E45"/>
    <w:rsid w:val="004B6695"/>
    <w:rsid w:val="004B74C0"/>
    <w:rsid w:val="004C61DA"/>
    <w:rsid w:val="004C6FA4"/>
    <w:rsid w:val="004C78F6"/>
    <w:rsid w:val="004C7D44"/>
    <w:rsid w:val="004D0272"/>
    <w:rsid w:val="004D32AE"/>
    <w:rsid w:val="004D3E3A"/>
    <w:rsid w:val="004D3F27"/>
    <w:rsid w:val="004D75CA"/>
    <w:rsid w:val="004E0791"/>
    <w:rsid w:val="004E1966"/>
    <w:rsid w:val="004E1F8C"/>
    <w:rsid w:val="004E24C3"/>
    <w:rsid w:val="004E3F87"/>
    <w:rsid w:val="004E5FD0"/>
    <w:rsid w:val="004E7117"/>
    <w:rsid w:val="004F0480"/>
    <w:rsid w:val="004F057F"/>
    <w:rsid w:val="004F1447"/>
    <w:rsid w:val="004F181D"/>
    <w:rsid w:val="004F201E"/>
    <w:rsid w:val="004F2395"/>
    <w:rsid w:val="004F2DD6"/>
    <w:rsid w:val="004F3F12"/>
    <w:rsid w:val="004F41FA"/>
    <w:rsid w:val="004F5E4E"/>
    <w:rsid w:val="004F7676"/>
    <w:rsid w:val="00500208"/>
    <w:rsid w:val="005018FA"/>
    <w:rsid w:val="00504110"/>
    <w:rsid w:val="00504A65"/>
    <w:rsid w:val="0050517F"/>
    <w:rsid w:val="0050655D"/>
    <w:rsid w:val="005109A5"/>
    <w:rsid w:val="0051138C"/>
    <w:rsid w:val="005126E3"/>
    <w:rsid w:val="00513086"/>
    <w:rsid w:val="005134D5"/>
    <w:rsid w:val="00515A43"/>
    <w:rsid w:val="00515E9C"/>
    <w:rsid w:val="00517615"/>
    <w:rsid w:val="00520A47"/>
    <w:rsid w:val="00520DA0"/>
    <w:rsid w:val="005214C6"/>
    <w:rsid w:val="00522771"/>
    <w:rsid w:val="0052327E"/>
    <w:rsid w:val="00525642"/>
    <w:rsid w:val="00525743"/>
    <w:rsid w:val="005265D8"/>
    <w:rsid w:val="005266FD"/>
    <w:rsid w:val="00526A25"/>
    <w:rsid w:val="0053386D"/>
    <w:rsid w:val="00535418"/>
    <w:rsid w:val="00540EFF"/>
    <w:rsid w:val="00540F43"/>
    <w:rsid w:val="00541683"/>
    <w:rsid w:val="00545718"/>
    <w:rsid w:val="00546A67"/>
    <w:rsid w:val="005506BC"/>
    <w:rsid w:val="005511C9"/>
    <w:rsid w:val="0055191F"/>
    <w:rsid w:val="0055417E"/>
    <w:rsid w:val="005600C5"/>
    <w:rsid w:val="0056107F"/>
    <w:rsid w:val="005617AD"/>
    <w:rsid w:val="00567B7E"/>
    <w:rsid w:val="005709E0"/>
    <w:rsid w:val="00570A0E"/>
    <w:rsid w:val="00573B7B"/>
    <w:rsid w:val="0057407D"/>
    <w:rsid w:val="00577488"/>
    <w:rsid w:val="00580D4C"/>
    <w:rsid w:val="00582800"/>
    <w:rsid w:val="00584477"/>
    <w:rsid w:val="00584875"/>
    <w:rsid w:val="00586F17"/>
    <w:rsid w:val="005877EC"/>
    <w:rsid w:val="00592432"/>
    <w:rsid w:val="005925D3"/>
    <w:rsid w:val="00593C21"/>
    <w:rsid w:val="005957D3"/>
    <w:rsid w:val="00596395"/>
    <w:rsid w:val="00596DB4"/>
    <w:rsid w:val="005A6A11"/>
    <w:rsid w:val="005B08D6"/>
    <w:rsid w:val="005B2527"/>
    <w:rsid w:val="005B4DC6"/>
    <w:rsid w:val="005B5259"/>
    <w:rsid w:val="005B7AC7"/>
    <w:rsid w:val="005B7E1A"/>
    <w:rsid w:val="005C08DF"/>
    <w:rsid w:val="005C0E2F"/>
    <w:rsid w:val="005C3085"/>
    <w:rsid w:val="005C3884"/>
    <w:rsid w:val="005C4A6A"/>
    <w:rsid w:val="005C6919"/>
    <w:rsid w:val="005C706B"/>
    <w:rsid w:val="005C71B4"/>
    <w:rsid w:val="005C75D5"/>
    <w:rsid w:val="005D2356"/>
    <w:rsid w:val="005D2798"/>
    <w:rsid w:val="005D35B3"/>
    <w:rsid w:val="005D395F"/>
    <w:rsid w:val="005D4DC7"/>
    <w:rsid w:val="005D6100"/>
    <w:rsid w:val="005E1DE2"/>
    <w:rsid w:val="005E2A4C"/>
    <w:rsid w:val="005E4F38"/>
    <w:rsid w:val="005E5128"/>
    <w:rsid w:val="005E6AEB"/>
    <w:rsid w:val="005E6E67"/>
    <w:rsid w:val="005F0F02"/>
    <w:rsid w:val="005F328D"/>
    <w:rsid w:val="005F4702"/>
    <w:rsid w:val="005F637E"/>
    <w:rsid w:val="005F6E7E"/>
    <w:rsid w:val="005F6F74"/>
    <w:rsid w:val="0060038B"/>
    <w:rsid w:val="00603CD0"/>
    <w:rsid w:val="0060415A"/>
    <w:rsid w:val="0060460B"/>
    <w:rsid w:val="00604868"/>
    <w:rsid w:val="0060651E"/>
    <w:rsid w:val="00607EF8"/>
    <w:rsid w:val="0061017A"/>
    <w:rsid w:val="00610CBF"/>
    <w:rsid w:val="00611B56"/>
    <w:rsid w:val="006131A3"/>
    <w:rsid w:val="00614775"/>
    <w:rsid w:val="0061661A"/>
    <w:rsid w:val="006167C0"/>
    <w:rsid w:val="00621A8A"/>
    <w:rsid w:val="006220A2"/>
    <w:rsid w:val="00622652"/>
    <w:rsid w:val="006233FE"/>
    <w:rsid w:val="00627263"/>
    <w:rsid w:val="00627D0E"/>
    <w:rsid w:val="00633528"/>
    <w:rsid w:val="0063518C"/>
    <w:rsid w:val="006360EE"/>
    <w:rsid w:val="00640E61"/>
    <w:rsid w:val="006410CA"/>
    <w:rsid w:val="00641A3D"/>
    <w:rsid w:val="00643D89"/>
    <w:rsid w:val="00644958"/>
    <w:rsid w:val="00646C99"/>
    <w:rsid w:val="00647686"/>
    <w:rsid w:val="006478F4"/>
    <w:rsid w:val="00647AC3"/>
    <w:rsid w:val="00647B23"/>
    <w:rsid w:val="00647B37"/>
    <w:rsid w:val="00650FD8"/>
    <w:rsid w:val="00651361"/>
    <w:rsid w:val="00654E36"/>
    <w:rsid w:val="00655CB5"/>
    <w:rsid w:val="006563A6"/>
    <w:rsid w:val="006576CC"/>
    <w:rsid w:val="00657DBF"/>
    <w:rsid w:val="006621EF"/>
    <w:rsid w:val="006633FE"/>
    <w:rsid w:val="006634B3"/>
    <w:rsid w:val="006664E3"/>
    <w:rsid w:val="006665E2"/>
    <w:rsid w:val="00670714"/>
    <w:rsid w:val="00670C4F"/>
    <w:rsid w:val="006725F5"/>
    <w:rsid w:val="006726F9"/>
    <w:rsid w:val="00676CE6"/>
    <w:rsid w:val="00680BD1"/>
    <w:rsid w:val="006843DD"/>
    <w:rsid w:val="00686932"/>
    <w:rsid w:val="00686E06"/>
    <w:rsid w:val="00691B0F"/>
    <w:rsid w:val="00692137"/>
    <w:rsid w:val="006929E9"/>
    <w:rsid w:val="006944E3"/>
    <w:rsid w:val="00694DE2"/>
    <w:rsid w:val="006950C7"/>
    <w:rsid w:val="00696A42"/>
    <w:rsid w:val="00696C11"/>
    <w:rsid w:val="00697221"/>
    <w:rsid w:val="006A0DF3"/>
    <w:rsid w:val="006A264E"/>
    <w:rsid w:val="006A3649"/>
    <w:rsid w:val="006A3902"/>
    <w:rsid w:val="006A4935"/>
    <w:rsid w:val="006A6D88"/>
    <w:rsid w:val="006A718B"/>
    <w:rsid w:val="006B1724"/>
    <w:rsid w:val="006B4CFD"/>
    <w:rsid w:val="006B512C"/>
    <w:rsid w:val="006B53FE"/>
    <w:rsid w:val="006C16A3"/>
    <w:rsid w:val="006C2345"/>
    <w:rsid w:val="006C3ED0"/>
    <w:rsid w:val="006C4D37"/>
    <w:rsid w:val="006C5CAC"/>
    <w:rsid w:val="006C673E"/>
    <w:rsid w:val="006D24D5"/>
    <w:rsid w:val="006D3296"/>
    <w:rsid w:val="006D3358"/>
    <w:rsid w:val="006D72A5"/>
    <w:rsid w:val="006E01EC"/>
    <w:rsid w:val="006E18F4"/>
    <w:rsid w:val="006E34D0"/>
    <w:rsid w:val="006E3EA5"/>
    <w:rsid w:val="006E63D1"/>
    <w:rsid w:val="006E6E58"/>
    <w:rsid w:val="006E7720"/>
    <w:rsid w:val="006E7B46"/>
    <w:rsid w:val="006F0327"/>
    <w:rsid w:val="006F34A3"/>
    <w:rsid w:val="006F5435"/>
    <w:rsid w:val="006F696B"/>
    <w:rsid w:val="006F6ED6"/>
    <w:rsid w:val="007007DE"/>
    <w:rsid w:val="0070143F"/>
    <w:rsid w:val="0070181D"/>
    <w:rsid w:val="007031C6"/>
    <w:rsid w:val="007106D9"/>
    <w:rsid w:val="00712568"/>
    <w:rsid w:val="00712843"/>
    <w:rsid w:val="00713F77"/>
    <w:rsid w:val="00714137"/>
    <w:rsid w:val="00714583"/>
    <w:rsid w:val="00715A49"/>
    <w:rsid w:val="007205DA"/>
    <w:rsid w:val="00720BB6"/>
    <w:rsid w:val="007239E7"/>
    <w:rsid w:val="00724967"/>
    <w:rsid w:val="0072518D"/>
    <w:rsid w:val="00730431"/>
    <w:rsid w:val="007308F8"/>
    <w:rsid w:val="00732B05"/>
    <w:rsid w:val="00732EF9"/>
    <w:rsid w:val="00737B42"/>
    <w:rsid w:val="00743D7F"/>
    <w:rsid w:val="00743E48"/>
    <w:rsid w:val="0074575B"/>
    <w:rsid w:val="00745D73"/>
    <w:rsid w:val="007502E4"/>
    <w:rsid w:val="0075212B"/>
    <w:rsid w:val="00752811"/>
    <w:rsid w:val="007535B0"/>
    <w:rsid w:val="00753A8F"/>
    <w:rsid w:val="0075408A"/>
    <w:rsid w:val="00757B27"/>
    <w:rsid w:val="007636B8"/>
    <w:rsid w:val="007644D8"/>
    <w:rsid w:val="007648F2"/>
    <w:rsid w:val="007656CF"/>
    <w:rsid w:val="00765A50"/>
    <w:rsid w:val="0076661A"/>
    <w:rsid w:val="007711C4"/>
    <w:rsid w:val="00773F33"/>
    <w:rsid w:val="00773F64"/>
    <w:rsid w:val="007745D2"/>
    <w:rsid w:val="007761D6"/>
    <w:rsid w:val="007803F4"/>
    <w:rsid w:val="00781265"/>
    <w:rsid w:val="00782829"/>
    <w:rsid w:val="00782BB0"/>
    <w:rsid w:val="0078515B"/>
    <w:rsid w:val="00785324"/>
    <w:rsid w:val="007877FB"/>
    <w:rsid w:val="007906A0"/>
    <w:rsid w:val="00790CA6"/>
    <w:rsid w:val="007919DD"/>
    <w:rsid w:val="00792531"/>
    <w:rsid w:val="0079626F"/>
    <w:rsid w:val="00796C43"/>
    <w:rsid w:val="007971CB"/>
    <w:rsid w:val="007A05AB"/>
    <w:rsid w:val="007A1A82"/>
    <w:rsid w:val="007A1B6A"/>
    <w:rsid w:val="007A1C52"/>
    <w:rsid w:val="007A21A2"/>
    <w:rsid w:val="007A2CB6"/>
    <w:rsid w:val="007A47CE"/>
    <w:rsid w:val="007A47D5"/>
    <w:rsid w:val="007A73D1"/>
    <w:rsid w:val="007B0E41"/>
    <w:rsid w:val="007B1162"/>
    <w:rsid w:val="007B1433"/>
    <w:rsid w:val="007B18EF"/>
    <w:rsid w:val="007B429E"/>
    <w:rsid w:val="007B4E47"/>
    <w:rsid w:val="007B5677"/>
    <w:rsid w:val="007B7A42"/>
    <w:rsid w:val="007C0335"/>
    <w:rsid w:val="007C1DEA"/>
    <w:rsid w:val="007C23F1"/>
    <w:rsid w:val="007C3A01"/>
    <w:rsid w:val="007C6E31"/>
    <w:rsid w:val="007D0DF7"/>
    <w:rsid w:val="007D1B98"/>
    <w:rsid w:val="007D1C37"/>
    <w:rsid w:val="007D3BC8"/>
    <w:rsid w:val="007D57F5"/>
    <w:rsid w:val="007D78E8"/>
    <w:rsid w:val="007E1225"/>
    <w:rsid w:val="007E2139"/>
    <w:rsid w:val="007E3138"/>
    <w:rsid w:val="007E4287"/>
    <w:rsid w:val="007E59EA"/>
    <w:rsid w:val="007E65B2"/>
    <w:rsid w:val="007F0863"/>
    <w:rsid w:val="007F134E"/>
    <w:rsid w:val="007F1CC8"/>
    <w:rsid w:val="007F2237"/>
    <w:rsid w:val="007F3285"/>
    <w:rsid w:val="007F3AAB"/>
    <w:rsid w:val="007F40DF"/>
    <w:rsid w:val="007F4DD2"/>
    <w:rsid w:val="007F6124"/>
    <w:rsid w:val="007F78A7"/>
    <w:rsid w:val="008017D2"/>
    <w:rsid w:val="008028FB"/>
    <w:rsid w:val="00806886"/>
    <w:rsid w:val="008077C9"/>
    <w:rsid w:val="00807BDA"/>
    <w:rsid w:val="00807C76"/>
    <w:rsid w:val="00810943"/>
    <w:rsid w:val="00812290"/>
    <w:rsid w:val="00813860"/>
    <w:rsid w:val="00813B03"/>
    <w:rsid w:val="008157A0"/>
    <w:rsid w:val="00816D14"/>
    <w:rsid w:val="00824276"/>
    <w:rsid w:val="00830431"/>
    <w:rsid w:val="008307DA"/>
    <w:rsid w:val="00830E45"/>
    <w:rsid w:val="0083283B"/>
    <w:rsid w:val="0083353F"/>
    <w:rsid w:val="008356FA"/>
    <w:rsid w:val="008415FD"/>
    <w:rsid w:val="00841895"/>
    <w:rsid w:val="00843E72"/>
    <w:rsid w:val="00844DBC"/>
    <w:rsid w:val="00845F7F"/>
    <w:rsid w:val="008472B8"/>
    <w:rsid w:val="00850D23"/>
    <w:rsid w:val="00853679"/>
    <w:rsid w:val="00854B33"/>
    <w:rsid w:val="00854CF7"/>
    <w:rsid w:val="00855216"/>
    <w:rsid w:val="00856A31"/>
    <w:rsid w:val="00857207"/>
    <w:rsid w:val="0085795E"/>
    <w:rsid w:val="00862C6C"/>
    <w:rsid w:val="00862E0B"/>
    <w:rsid w:val="008641E0"/>
    <w:rsid w:val="008645E0"/>
    <w:rsid w:val="00864983"/>
    <w:rsid w:val="00865142"/>
    <w:rsid w:val="00867B06"/>
    <w:rsid w:val="008700EE"/>
    <w:rsid w:val="008707E0"/>
    <w:rsid w:val="00871A8F"/>
    <w:rsid w:val="00873AFD"/>
    <w:rsid w:val="008760DF"/>
    <w:rsid w:val="008770B1"/>
    <w:rsid w:val="00886F27"/>
    <w:rsid w:val="008905C6"/>
    <w:rsid w:val="008911A0"/>
    <w:rsid w:val="00891514"/>
    <w:rsid w:val="00891AC1"/>
    <w:rsid w:val="00894590"/>
    <w:rsid w:val="00894652"/>
    <w:rsid w:val="00895C35"/>
    <w:rsid w:val="00897734"/>
    <w:rsid w:val="008A2130"/>
    <w:rsid w:val="008A2AD2"/>
    <w:rsid w:val="008A376A"/>
    <w:rsid w:val="008A633C"/>
    <w:rsid w:val="008A6FF6"/>
    <w:rsid w:val="008A791D"/>
    <w:rsid w:val="008B1C02"/>
    <w:rsid w:val="008B56A8"/>
    <w:rsid w:val="008B5CA9"/>
    <w:rsid w:val="008B5F21"/>
    <w:rsid w:val="008B718A"/>
    <w:rsid w:val="008B7CD5"/>
    <w:rsid w:val="008C15D0"/>
    <w:rsid w:val="008C5D51"/>
    <w:rsid w:val="008C6274"/>
    <w:rsid w:val="008C7C5C"/>
    <w:rsid w:val="008D3B95"/>
    <w:rsid w:val="008D4F03"/>
    <w:rsid w:val="008D624D"/>
    <w:rsid w:val="008D644F"/>
    <w:rsid w:val="008D7CAB"/>
    <w:rsid w:val="008D7CC5"/>
    <w:rsid w:val="008E16C0"/>
    <w:rsid w:val="008E1709"/>
    <w:rsid w:val="008E1EE0"/>
    <w:rsid w:val="008E3F1C"/>
    <w:rsid w:val="008E542F"/>
    <w:rsid w:val="008E6A91"/>
    <w:rsid w:val="008E6EF7"/>
    <w:rsid w:val="008F0F2C"/>
    <w:rsid w:val="008F1497"/>
    <w:rsid w:val="008F2548"/>
    <w:rsid w:val="008F6839"/>
    <w:rsid w:val="008F70C6"/>
    <w:rsid w:val="008F740A"/>
    <w:rsid w:val="00900222"/>
    <w:rsid w:val="00901679"/>
    <w:rsid w:val="00902E6D"/>
    <w:rsid w:val="0090375E"/>
    <w:rsid w:val="00906C65"/>
    <w:rsid w:val="009072B1"/>
    <w:rsid w:val="009122F8"/>
    <w:rsid w:val="009127AF"/>
    <w:rsid w:val="009174DA"/>
    <w:rsid w:val="0092059E"/>
    <w:rsid w:val="00922F34"/>
    <w:rsid w:val="009239CD"/>
    <w:rsid w:val="009256BF"/>
    <w:rsid w:val="009302B0"/>
    <w:rsid w:val="0093163B"/>
    <w:rsid w:val="009361ED"/>
    <w:rsid w:val="00936773"/>
    <w:rsid w:val="00941693"/>
    <w:rsid w:val="009417B8"/>
    <w:rsid w:val="00942079"/>
    <w:rsid w:val="00944101"/>
    <w:rsid w:val="00946300"/>
    <w:rsid w:val="00947C3C"/>
    <w:rsid w:val="0095088E"/>
    <w:rsid w:val="00951540"/>
    <w:rsid w:val="00953B91"/>
    <w:rsid w:val="00954608"/>
    <w:rsid w:val="00954EC9"/>
    <w:rsid w:val="00954ECB"/>
    <w:rsid w:val="0095606C"/>
    <w:rsid w:val="009562C3"/>
    <w:rsid w:val="009612D9"/>
    <w:rsid w:val="00961987"/>
    <w:rsid w:val="009633CD"/>
    <w:rsid w:val="00963CB6"/>
    <w:rsid w:val="00964415"/>
    <w:rsid w:val="009652F5"/>
    <w:rsid w:val="009659B0"/>
    <w:rsid w:val="009677AD"/>
    <w:rsid w:val="00967A9B"/>
    <w:rsid w:val="009700B1"/>
    <w:rsid w:val="009700C0"/>
    <w:rsid w:val="009703E1"/>
    <w:rsid w:val="00971C16"/>
    <w:rsid w:val="00975749"/>
    <w:rsid w:val="00976E88"/>
    <w:rsid w:val="009779A5"/>
    <w:rsid w:val="00980C4E"/>
    <w:rsid w:val="00982076"/>
    <w:rsid w:val="00984676"/>
    <w:rsid w:val="00984897"/>
    <w:rsid w:val="00987799"/>
    <w:rsid w:val="009906E2"/>
    <w:rsid w:val="00990BCA"/>
    <w:rsid w:val="00993378"/>
    <w:rsid w:val="00997512"/>
    <w:rsid w:val="009976F7"/>
    <w:rsid w:val="009A0937"/>
    <w:rsid w:val="009A0AE6"/>
    <w:rsid w:val="009A18BC"/>
    <w:rsid w:val="009A1D75"/>
    <w:rsid w:val="009A21F8"/>
    <w:rsid w:val="009A402A"/>
    <w:rsid w:val="009A45F5"/>
    <w:rsid w:val="009A481E"/>
    <w:rsid w:val="009A6639"/>
    <w:rsid w:val="009B041B"/>
    <w:rsid w:val="009B0865"/>
    <w:rsid w:val="009B29A7"/>
    <w:rsid w:val="009B3593"/>
    <w:rsid w:val="009B38E2"/>
    <w:rsid w:val="009B5EE8"/>
    <w:rsid w:val="009B7C05"/>
    <w:rsid w:val="009C1095"/>
    <w:rsid w:val="009C255C"/>
    <w:rsid w:val="009D0EB8"/>
    <w:rsid w:val="009D2CDF"/>
    <w:rsid w:val="009D3769"/>
    <w:rsid w:val="009D443D"/>
    <w:rsid w:val="009D4761"/>
    <w:rsid w:val="009D524F"/>
    <w:rsid w:val="009D5875"/>
    <w:rsid w:val="009D6AD8"/>
    <w:rsid w:val="009D6BD7"/>
    <w:rsid w:val="009D77E3"/>
    <w:rsid w:val="009E0D27"/>
    <w:rsid w:val="009E2B81"/>
    <w:rsid w:val="009E46CE"/>
    <w:rsid w:val="009F1130"/>
    <w:rsid w:val="009F2157"/>
    <w:rsid w:val="009F28A0"/>
    <w:rsid w:val="009F53AE"/>
    <w:rsid w:val="009F70E4"/>
    <w:rsid w:val="009F7667"/>
    <w:rsid w:val="00A0012B"/>
    <w:rsid w:val="00A00A77"/>
    <w:rsid w:val="00A00DD0"/>
    <w:rsid w:val="00A036A5"/>
    <w:rsid w:val="00A0446C"/>
    <w:rsid w:val="00A0461C"/>
    <w:rsid w:val="00A07F65"/>
    <w:rsid w:val="00A102C5"/>
    <w:rsid w:val="00A1047E"/>
    <w:rsid w:val="00A1151A"/>
    <w:rsid w:val="00A11724"/>
    <w:rsid w:val="00A117C1"/>
    <w:rsid w:val="00A121B0"/>
    <w:rsid w:val="00A127AE"/>
    <w:rsid w:val="00A12D6E"/>
    <w:rsid w:val="00A13837"/>
    <w:rsid w:val="00A13C69"/>
    <w:rsid w:val="00A1510B"/>
    <w:rsid w:val="00A16498"/>
    <w:rsid w:val="00A20C68"/>
    <w:rsid w:val="00A21EC2"/>
    <w:rsid w:val="00A22278"/>
    <w:rsid w:val="00A23CA6"/>
    <w:rsid w:val="00A25A7E"/>
    <w:rsid w:val="00A26549"/>
    <w:rsid w:val="00A27963"/>
    <w:rsid w:val="00A32B28"/>
    <w:rsid w:val="00A3301B"/>
    <w:rsid w:val="00A34011"/>
    <w:rsid w:val="00A343EA"/>
    <w:rsid w:val="00A34831"/>
    <w:rsid w:val="00A35552"/>
    <w:rsid w:val="00A35A0E"/>
    <w:rsid w:val="00A35D27"/>
    <w:rsid w:val="00A365F6"/>
    <w:rsid w:val="00A36AFC"/>
    <w:rsid w:val="00A404F1"/>
    <w:rsid w:val="00A40CCC"/>
    <w:rsid w:val="00A43864"/>
    <w:rsid w:val="00A449B7"/>
    <w:rsid w:val="00A4586C"/>
    <w:rsid w:val="00A45EC9"/>
    <w:rsid w:val="00A466A5"/>
    <w:rsid w:val="00A51843"/>
    <w:rsid w:val="00A57A71"/>
    <w:rsid w:val="00A6336A"/>
    <w:rsid w:val="00A63BFF"/>
    <w:rsid w:val="00A64F10"/>
    <w:rsid w:val="00A6545F"/>
    <w:rsid w:val="00A65D5B"/>
    <w:rsid w:val="00A66843"/>
    <w:rsid w:val="00A746CA"/>
    <w:rsid w:val="00A75699"/>
    <w:rsid w:val="00A76DB4"/>
    <w:rsid w:val="00A80299"/>
    <w:rsid w:val="00A81DB5"/>
    <w:rsid w:val="00A83214"/>
    <w:rsid w:val="00A84867"/>
    <w:rsid w:val="00A90513"/>
    <w:rsid w:val="00A92594"/>
    <w:rsid w:val="00A9389E"/>
    <w:rsid w:val="00A944AC"/>
    <w:rsid w:val="00A95E41"/>
    <w:rsid w:val="00A96479"/>
    <w:rsid w:val="00A96C6D"/>
    <w:rsid w:val="00A972A0"/>
    <w:rsid w:val="00A97335"/>
    <w:rsid w:val="00A9733A"/>
    <w:rsid w:val="00A97DE0"/>
    <w:rsid w:val="00AA075E"/>
    <w:rsid w:val="00AA0B70"/>
    <w:rsid w:val="00AA2730"/>
    <w:rsid w:val="00AA51A4"/>
    <w:rsid w:val="00AA5783"/>
    <w:rsid w:val="00AA6FF2"/>
    <w:rsid w:val="00AB1E05"/>
    <w:rsid w:val="00AB26A6"/>
    <w:rsid w:val="00AB3EE4"/>
    <w:rsid w:val="00AB3F24"/>
    <w:rsid w:val="00AB5EC7"/>
    <w:rsid w:val="00AB784E"/>
    <w:rsid w:val="00AC0C5D"/>
    <w:rsid w:val="00AC52EC"/>
    <w:rsid w:val="00AC60A9"/>
    <w:rsid w:val="00AC679B"/>
    <w:rsid w:val="00AC6BFD"/>
    <w:rsid w:val="00AC7BEB"/>
    <w:rsid w:val="00AD0473"/>
    <w:rsid w:val="00AD2653"/>
    <w:rsid w:val="00AD3297"/>
    <w:rsid w:val="00AD6653"/>
    <w:rsid w:val="00AE06C0"/>
    <w:rsid w:val="00AE07C9"/>
    <w:rsid w:val="00AE0A46"/>
    <w:rsid w:val="00AE41F0"/>
    <w:rsid w:val="00AE7CF4"/>
    <w:rsid w:val="00AF11A3"/>
    <w:rsid w:val="00AF3B96"/>
    <w:rsid w:val="00AF3BD4"/>
    <w:rsid w:val="00AF5EBD"/>
    <w:rsid w:val="00B026EE"/>
    <w:rsid w:val="00B04832"/>
    <w:rsid w:val="00B06C75"/>
    <w:rsid w:val="00B07B36"/>
    <w:rsid w:val="00B104D7"/>
    <w:rsid w:val="00B11A92"/>
    <w:rsid w:val="00B11B6F"/>
    <w:rsid w:val="00B13EEA"/>
    <w:rsid w:val="00B16046"/>
    <w:rsid w:val="00B20CD8"/>
    <w:rsid w:val="00B23241"/>
    <w:rsid w:val="00B25596"/>
    <w:rsid w:val="00B255B3"/>
    <w:rsid w:val="00B27779"/>
    <w:rsid w:val="00B329EA"/>
    <w:rsid w:val="00B33DBC"/>
    <w:rsid w:val="00B34A32"/>
    <w:rsid w:val="00B35499"/>
    <w:rsid w:val="00B35C9A"/>
    <w:rsid w:val="00B360E8"/>
    <w:rsid w:val="00B37EAB"/>
    <w:rsid w:val="00B37FFC"/>
    <w:rsid w:val="00B40199"/>
    <w:rsid w:val="00B40582"/>
    <w:rsid w:val="00B41607"/>
    <w:rsid w:val="00B47432"/>
    <w:rsid w:val="00B51CE2"/>
    <w:rsid w:val="00B546FC"/>
    <w:rsid w:val="00B54E5D"/>
    <w:rsid w:val="00B54F40"/>
    <w:rsid w:val="00B570D7"/>
    <w:rsid w:val="00B57D42"/>
    <w:rsid w:val="00B6070B"/>
    <w:rsid w:val="00B62348"/>
    <w:rsid w:val="00B63394"/>
    <w:rsid w:val="00B639FC"/>
    <w:rsid w:val="00B63D37"/>
    <w:rsid w:val="00B64127"/>
    <w:rsid w:val="00B7002C"/>
    <w:rsid w:val="00B723A9"/>
    <w:rsid w:val="00B73415"/>
    <w:rsid w:val="00B7382F"/>
    <w:rsid w:val="00B75078"/>
    <w:rsid w:val="00B75CFF"/>
    <w:rsid w:val="00B777C6"/>
    <w:rsid w:val="00B80675"/>
    <w:rsid w:val="00B807F9"/>
    <w:rsid w:val="00B81C6A"/>
    <w:rsid w:val="00B82E4D"/>
    <w:rsid w:val="00B85CC5"/>
    <w:rsid w:val="00B91D3B"/>
    <w:rsid w:val="00B92A53"/>
    <w:rsid w:val="00BA0E03"/>
    <w:rsid w:val="00BA0FA9"/>
    <w:rsid w:val="00BB05D1"/>
    <w:rsid w:val="00BB05D2"/>
    <w:rsid w:val="00BB1C6E"/>
    <w:rsid w:val="00BB68D0"/>
    <w:rsid w:val="00BB73A6"/>
    <w:rsid w:val="00BC016F"/>
    <w:rsid w:val="00BC36C8"/>
    <w:rsid w:val="00BC4DA4"/>
    <w:rsid w:val="00BC5DA2"/>
    <w:rsid w:val="00BD1206"/>
    <w:rsid w:val="00BD2DC5"/>
    <w:rsid w:val="00BD318F"/>
    <w:rsid w:val="00BD54B6"/>
    <w:rsid w:val="00BD72C3"/>
    <w:rsid w:val="00BD78E3"/>
    <w:rsid w:val="00BE0F6D"/>
    <w:rsid w:val="00BE169A"/>
    <w:rsid w:val="00BE2414"/>
    <w:rsid w:val="00BE448A"/>
    <w:rsid w:val="00BF1AF7"/>
    <w:rsid w:val="00BF30E2"/>
    <w:rsid w:val="00BF659E"/>
    <w:rsid w:val="00BF6DA4"/>
    <w:rsid w:val="00C01E14"/>
    <w:rsid w:val="00C022D1"/>
    <w:rsid w:val="00C023B6"/>
    <w:rsid w:val="00C0330E"/>
    <w:rsid w:val="00C0360E"/>
    <w:rsid w:val="00C0622E"/>
    <w:rsid w:val="00C07DAB"/>
    <w:rsid w:val="00C1191F"/>
    <w:rsid w:val="00C13013"/>
    <w:rsid w:val="00C14760"/>
    <w:rsid w:val="00C14CF3"/>
    <w:rsid w:val="00C15BEE"/>
    <w:rsid w:val="00C15C54"/>
    <w:rsid w:val="00C16CEE"/>
    <w:rsid w:val="00C1752A"/>
    <w:rsid w:val="00C17E32"/>
    <w:rsid w:val="00C205C2"/>
    <w:rsid w:val="00C209CB"/>
    <w:rsid w:val="00C20A39"/>
    <w:rsid w:val="00C21820"/>
    <w:rsid w:val="00C21DAF"/>
    <w:rsid w:val="00C225F3"/>
    <w:rsid w:val="00C22935"/>
    <w:rsid w:val="00C22ED3"/>
    <w:rsid w:val="00C245F2"/>
    <w:rsid w:val="00C25D74"/>
    <w:rsid w:val="00C265BA"/>
    <w:rsid w:val="00C27106"/>
    <w:rsid w:val="00C27C39"/>
    <w:rsid w:val="00C27EE7"/>
    <w:rsid w:val="00C3372F"/>
    <w:rsid w:val="00C33BDB"/>
    <w:rsid w:val="00C3456C"/>
    <w:rsid w:val="00C34B0C"/>
    <w:rsid w:val="00C34DD8"/>
    <w:rsid w:val="00C36670"/>
    <w:rsid w:val="00C42637"/>
    <w:rsid w:val="00C431E2"/>
    <w:rsid w:val="00C434A9"/>
    <w:rsid w:val="00C43C1E"/>
    <w:rsid w:val="00C45176"/>
    <w:rsid w:val="00C4754E"/>
    <w:rsid w:val="00C479B8"/>
    <w:rsid w:val="00C53714"/>
    <w:rsid w:val="00C564AD"/>
    <w:rsid w:val="00C56B42"/>
    <w:rsid w:val="00C61524"/>
    <w:rsid w:val="00C61614"/>
    <w:rsid w:val="00C619AB"/>
    <w:rsid w:val="00C65131"/>
    <w:rsid w:val="00C70262"/>
    <w:rsid w:val="00C70BD0"/>
    <w:rsid w:val="00C70C3B"/>
    <w:rsid w:val="00C727E0"/>
    <w:rsid w:val="00C7307F"/>
    <w:rsid w:val="00C75538"/>
    <w:rsid w:val="00C75A63"/>
    <w:rsid w:val="00C773B0"/>
    <w:rsid w:val="00C80719"/>
    <w:rsid w:val="00C80FC9"/>
    <w:rsid w:val="00C8137C"/>
    <w:rsid w:val="00C820DD"/>
    <w:rsid w:val="00C82BD1"/>
    <w:rsid w:val="00C849BA"/>
    <w:rsid w:val="00C84AF3"/>
    <w:rsid w:val="00C87EDE"/>
    <w:rsid w:val="00C91A15"/>
    <w:rsid w:val="00C9385C"/>
    <w:rsid w:val="00C955EE"/>
    <w:rsid w:val="00C967CE"/>
    <w:rsid w:val="00CA12DB"/>
    <w:rsid w:val="00CA4711"/>
    <w:rsid w:val="00CA67ED"/>
    <w:rsid w:val="00CB172A"/>
    <w:rsid w:val="00CB17D4"/>
    <w:rsid w:val="00CB4353"/>
    <w:rsid w:val="00CB7EA9"/>
    <w:rsid w:val="00CC1859"/>
    <w:rsid w:val="00CC33D3"/>
    <w:rsid w:val="00CC345B"/>
    <w:rsid w:val="00CC3898"/>
    <w:rsid w:val="00CC58FA"/>
    <w:rsid w:val="00CC5BF2"/>
    <w:rsid w:val="00CC5D67"/>
    <w:rsid w:val="00CC5E60"/>
    <w:rsid w:val="00CC68E1"/>
    <w:rsid w:val="00CC6CB0"/>
    <w:rsid w:val="00CC7627"/>
    <w:rsid w:val="00CD3459"/>
    <w:rsid w:val="00CD3616"/>
    <w:rsid w:val="00CD4A86"/>
    <w:rsid w:val="00CD5728"/>
    <w:rsid w:val="00CD7D7F"/>
    <w:rsid w:val="00CE0E22"/>
    <w:rsid w:val="00CE12E2"/>
    <w:rsid w:val="00CE250E"/>
    <w:rsid w:val="00CE4D78"/>
    <w:rsid w:val="00CE7B74"/>
    <w:rsid w:val="00CE7C4F"/>
    <w:rsid w:val="00CF245F"/>
    <w:rsid w:val="00CF2690"/>
    <w:rsid w:val="00CF3152"/>
    <w:rsid w:val="00CF3C13"/>
    <w:rsid w:val="00CF4C99"/>
    <w:rsid w:val="00CF5256"/>
    <w:rsid w:val="00CF782E"/>
    <w:rsid w:val="00D00215"/>
    <w:rsid w:val="00D00F9C"/>
    <w:rsid w:val="00D02DA9"/>
    <w:rsid w:val="00D03BF4"/>
    <w:rsid w:val="00D05A82"/>
    <w:rsid w:val="00D05FB9"/>
    <w:rsid w:val="00D078F5"/>
    <w:rsid w:val="00D1006C"/>
    <w:rsid w:val="00D1029C"/>
    <w:rsid w:val="00D10332"/>
    <w:rsid w:val="00D1296E"/>
    <w:rsid w:val="00D12CFB"/>
    <w:rsid w:val="00D12E19"/>
    <w:rsid w:val="00D14AAB"/>
    <w:rsid w:val="00D14D2A"/>
    <w:rsid w:val="00D1541B"/>
    <w:rsid w:val="00D159BC"/>
    <w:rsid w:val="00D20DDB"/>
    <w:rsid w:val="00D211D1"/>
    <w:rsid w:val="00D226F9"/>
    <w:rsid w:val="00D232B7"/>
    <w:rsid w:val="00D250D2"/>
    <w:rsid w:val="00D30284"/>
    <w:rsid w:val="00D3081D"/>
    <w:rsid w:val="00D308D8"/>
    <w:rsid w:val="00D30FAA"/>
    <w:rsid w:val="00D313C3"/>
    <w:rsid w:val="00D31E58"/>
    <w:rsid w:val="00D3212B"/>
    <w:rsid w:val="00D35901"/>
    <w:rsid w:val="00D411D0"/>
    <w:rsid w:val="00D41DA5"/>
    <w:rsid w:val="00D41ECB"/>
    <w:rsid w:val="00D444EA"/>
    <w:rsid w:val="00D451CE"/>
    <w:rsid w:val="00D46349"/>
    <w:rsid w:val="00D47119"/>
    <w:rsid w:val="00D51472"/>
    <w:rsid w:val="00D539A9"/>
    <w:rsid w:val="00D53C34"/>
    <w:rsid w:val="00D54061"/>
    <w:rsid w:val="00D55219"/>
    <w:rsid w:val="00D5733C"/>
    <w:rsid w:val="00D57D6F"/>
    <w:rsid w:val="00D57FE9"/>
    <w:rsid w:val="00D607D8"/>
    <w:rsid w:val="00D631D4"/>
    <w:rsid w:val="00D6452A"/>
    <w:rsid w:val="00D73E44"/>
    <w:rsid w:val="00D82574"/>
    <w:rsid w:val="00D83915"/>
    <w:rsid w:val="00D84068"/>
    <w:rsid w:val="00D8743C"/>
    <w:rsid w:val="00D908B9"/>
    <w:rsid w:val="00D91570"/>
    <w:rsid w:val="00D938AA"/>
    <w:rsid w:val="00D9757B"/>
    <w:rsid w:val="00D97D18"/>
    <w:rsid w:val="00DA033C"/>
    <w:rsid w:val="00DA0825"/>
    <w:rsid w:val="00DA4C2E"/>
    <w:rsid w:val="00DA5732"/>
    <w:rsid w:val="00DA58F4"/>
    <w:rsid w:val="00DA7DF1"/>
    <w:rsid w:val="00DB2A16"/>
    <w:rsid w:val="00DB3533"/>
    <w:rsid w:val="00DB4211"/>
    <w:rsid w:val="00DB4615"/>
    <w:rsid w:val="00DB5F2F"/>
    <w:rsid w:val="00DB6C88"/>
    <w:rsid w:val="00DB71FF"/>
    <w:rsid w:val="00DC0F7C"/>
    <w:rsid w:val="00DC20D9"/>
    <w:rsid w:val="00DD0575"/>
    <w:rsid w:val="00DD0C9B"/>
    <w:rsid w:val="00DD14C4"/>
    <w:rsid w:val="00DD1A5D"/>
    <w:rsid w:val="00DD26A4"/>
    <w:rsid w:val="00DD756D"/>
    <w:rsid w:val="00DE1FC6"/>
    <w:rsid w:val="00DE4474"/>
    <w:rsid w:val="00DE4EE2"/>
    <w:rsid w:val="00DE676A"/>
    <w:rsid w:val="00DE739F"/>
    <w:rsid w:val="00DF5671"/>
    <w:rsid w:val="00DF75BE"/>
    <w:rsid w:val="00E0009B"/>
    <w:rsid w:val="00E00DD1"/>
    <w:rsid w:val="00E01B4F"/>
    <w:rsid w:val="00E01FB1"/>
    <w:rsid w:val="00E02E97"/>
    <w:rsid w:val="00E07A10"/>
    <w:rsid w:val="00E07C20"/>
    <w:rsid w:val="00E11790"/>
    <w:rsid w:val="00E12355"/>
    <w:rsid w:val="00E130F2"/>
    <w:rsid w:val="00E1432F"/>
    <w:rsid w:val="00E147AE"/>
    <w:rsid w:val="00E15BC3"/>
    <w:rsid w:val="00E16A5E"/>
    <w:rsid w:val="00E16F6C"/>
    <w:rsid w:val="00E173BE"/>
    <w:rsid w:val="00E20325"/>
    <w:rsid w:val="00E2146C"/>
    <w:rsid w:val="00E219E8"/>
    <w:rsid w:val="00E23F37"/>
    <w:rsid w:val="00E2496C"/>
    <w:rsid w:val="00E2685D"/>
    <w:rsid w:val="00E27AA8"/>
    <w:rsid w:val="00E31A60"/>
    <w:rsid w:val="00E37F97"/>
    <w:rsid w:val="00E406F1"/>
    <w:rsid w:val="00E41BEC"/>
    <w:rsid w:val="00E41CB0"/>
    <w:rsid w:val="00E423D1"/>
    <w:rsid w:val="00E43326"/>
    <w:rsid w:val="00E43798"/>
    <w:rsid w:val="00E44AB6"/>
    <w:rsid w:val="00E453E9"/>
    <w:rsid w:val="00E45C30"/>
    <w:rsid w:val="00E45C5F"/>
    <w:rsid w:val="00E460EF"/>
    <w:rsid w:val="00E54EA1"/>
    <w:rsid w:val="00E55114"/>
    <w:rsid w:val="00E55E19"/>
    <w:rsid w:val="00E56BF5"/>
    <w:rsid w:val="00E60176"/>
    <w:rsid w:val="00E62F7A"/>
    <w:rsid w:val="00E63262"/>
    <w:rsid w:val="00E65CA1"/>
    <w:rsid w:val="00E66B5F"/>
    <w:rsid w:val="00E66D7E"/>
    <w:rsid w:val="00E72A30"/>
    <w:rsid w:val="00E735DE"/>
    <w:rsid w:val="00E7369E"/>
    <w:rsid w:val="00E740AC"/>
    <w:rsid w:val="00E748CD"/>
    <w:rsid w:val="00E74ABE"/>
    <w:rsid w:val="00E77269"/>
    <w:rsid w:val="00E7764B"/>
    <w:rsid w:val="00E777F9"/>
    <w:rsid w:val="00E808E3"/>
    <w:rsid w:val="00E8093E"/>
    <w:rsid w:val="00E8198F"/>
    <w:rsid w:val="00E81BCD"/>
    <w:rsid w:val="00E835B1"/>
    <w:rsid w:val="00E86D91"/>
    <w:rsid w:val="00E919F7"/>
    <w:rsid w:val="00E944B9"/>
    <w:rsid w:val="00E95667"/>
    <w:rsid w:val="00E968DA"/>
    <w:rsid w:val="00E97220"/>
    <w:rsid w:val="00E97FC0"/>
    <w:rsid w:val="00EA0B43"/>
    <w:rsid w:val="00EA0C27"/>
    <w:rsid w:val="00EA2193"/>
    <w:rsid w:val="00EA2D33"/>
    <w:rsid w:val="00EA43BB"/>
    <w:rsid w:val="00EA468B"/>
    <w:rsid w:val="00EA500D"/>
    <w:rsid w:val="00EA697D"/>
    <w:rsid w:val="00EA698F"/>
    <w:rsid w:val="00EB0639"/>
    <w:rsid w:val="00EB0F11"/>
    <w:rsid w:val="00EB441B"/>
    <w:rsid w:val="00EB46FF"/>
    <w:rsid w:val="00EB6D0A"/>
    <w:rsid w:val="00EC0544"/>
    <w:rsid w:val="00EC38E3"/>
    <w:rsid w:val="00EC714E"/>
    <w:rsid w:val="00ED07E5"/>
    <w:rsid w:val="00ED1A1F"/>
    <w:rsid w:val="00ED43F9"/>
    <w:rsid w:val="00ED440F"/>
    <w:rsid w:val="00ED52F5"/>
    <w:rsid w:val="00ED6A3B"/>
    <w:rsid w:val="00EE00D5"/>
    <w:rsid w:val="00EE12FC"/>
    <w:rsid w:val="00EE28B4"/>
    <w:rsid w:val="00EE3AB5"/>
    <w:rsid w:val="00EE5DAA"/>
    <w:rsid w:val="00EE7FFA"/>
    <w:rsid w:val="00EF2783"/>
    <w:rsid w:val="00EF2B6F"/>
    <w:rsid w:val="00EF3A12"/>
    <w:rsid w:val="00EF42FA"/>
    <w:rsid w:val="00F044CB"/>
    <w:rsid w:val="00F04CB3"/>
    <w:rsid w:val="00F04FA5"/>
    <w:rsid w:val="00F05625"/>
    <w:rsid w:val="00F0623E"/>
    <w:rsid w:val="00F06936"/>
    <w:rsid w:val="00F07667"/>
    <w:rsid w:val="00F110DB"/>
    <w:rsid w:val="00F119A0"/>
    <w:rsid w:val="00F11AD0"/>
    <w:rsid w:val="00F137B2"/>
    <w:rsid w:val="00F15E23"/>
    <w:rsid w:val="00F161D0"/>
    <w:rsid w:val="00F16577"/>
    <w:rsid w:val="00F1777C"/>
    <w:rsid w:val="00F210E6"/>
    <w:rsid w:val="00F217F1"/>
    <w:rsid w:val="00F231B7"/>
    <w:rsid w:val="00F2356E"/>
    <w:rsid w:val="00F23EF0"/>
    <w:rsid w:val="00F24FAA"/>
    <w:rsid w:val="00F25CD3"/>
    <w:rsid w:val="00F2630A"/>
    <w:rsid w:val="00F2713C"/>
    <w:rsid w:val="00F30CC7"/>
    <w:rsid w:val="00F31F86"/>
    <w:rsid w:val="00F337CE"/>
    <w:rsid w:val="00F3422D"/>
    <w:rsid w:val="00F35DE7"/>
    <w:rsid w:val="00F36967"/>
    <w:rsid w:val="00F3796F"/>
    <w:rsid w:val="00F37A6C"/>
    <w:rsid w:val="00F41D35"/>
    <w:rsid w:val="00F4210C"/>
    <w:rsid w:val="00F433D4"/>
    <w:rsid w:val="00F45569"/>
    <w:rsid w:val="00F47C80"/>
    <w:rsid w:val="00F50329"/>
    <w:rsid w:val="00F5196C"/>
    <w:rsid w:val="00F5265A"/>
    <w:rsid w:val="00F5334A"/>
    <w:rsid w:val="00F55247"/>
    <w:rsid w:val="00F562EE"/>
    <w:rsid w:val="00F56644"/>
    <w:rsid w:val="00F56C44"/>
    <w:rsid w:val="00F64534"/>
    <w:rsid w:val="00F64D94"/>
    <w:rsid w:val="00F64F9A"/>
    <w:rsid w:val="00F660B4"/>
    <w:rsid w:val="00F66E30"/>
    <w:rsid w:val="00F6773D"/>
    <w:rsid w:val="00F70A28"/>
    <w:rsid w:val="00F72D96"/>
    <w:rsid w:val="00F7358B"/>
    <w:rsid w:val="00F74678"/>
    <w:rsid w:val="00F74C40"/>
    <w:rsid w:val="00F75A23"/>
    <w:rsid w:val="00F75A50"/>
    <w:rsid w:val="00F7624C"/>
    <w:rsid w:val="00F76E10"/>
    <w:rsid w:val="00F7782F"/>
    <w:rsid w:val="00F77A3A"/>
    <w:rsid w:val="00F80F64"/>
    <w:rsid w:val="00F81CAB"/>
    <w:rsid w:val="00F8282A"/>
    <w:rsid w:val="00F83CF7"/>
    <w:rsid w:val="00F91429"/>
    <w:rsid w:val="00F93F78"/>
    <w:rsid w:val="00F9458B"/>
    <w:rsid w:val="00F95A9F"/>
    <w:rsid w:val="00F96911"/>
    <w:rsid w:val="00F970DF"/>
    <w:rsid w:val="00FA0326"/>
    <w:rsid w:val="00FA0722"/>
    <w:rsid w:val="00FA237C"/>
    <w:rsid w:val="00FA2E9A"/>
    <w:rsid w:val="00FA50F1"/>
    <w:rsid w:val="00FA5A65"/>
    <w:rsid w:val="00FB0419"/>
    <w:rsid w:val="00FB06E1"/>
    <w:rsid w:val="00FB11E6"/>
    <w:rsid w:val="00FB16DC"/>
    <w:rsid w:val="00FB259A"/>
    <w:rsid w:val="00FB2BA6"/>
    <w:rsid w:val="00FB55D3"/>
    <w:rsid w:val="00FC033E"/>
    <w:rsid w:val="00FC12DC"/>
    <w:rsid w:val="00FC245E"/>
    <w:rsid w:val="00FC3933"/>
    <w:rsid w:val="00FD1387"/>
    <w:rsid w:val="00FD4732"/>
    <w:rsid w:val="00FD4D65"/>
    <w:rsid w:val="00FD7549"/>
    <w:rsid w:val="00FD7A52"/>
    <w:rsid w:val="00FE15F7"/>
    <w:rsid w:val="00FE2876"/>
    <w:rsid w:val="00FE4294"/>
    <w:rsid w:val="00FF11F0"/>
    <w:rsid w:val="00FF2564"/>
    <w:rsid w:val="00FF4148"/>
    <w:rsid w:val="00FF63B4"/>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4A0DDA7A"/>
  <w15:docId w15:val="{BA3092A5-32B5-481E-A619-770E05BCF9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lv-LV"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71088"/>
    <w:pPr>
      <w:spacing w:after="0" w:line="240" w:lineRule="auto"/>
    </w:pPr>
    <w:rPr>
      <w:rFonts w:ascii="Calibri" w:hAnsi="Calibri" w:cs="Times New Roman"/>
    </w:rPr>
  </w:style>
  <w:style w:type="paragraph" w:styleId="Heading1">
    <w:name w:val="heading 1"/>
    <w:basedOn w:val="Normal"/>
    <w:next w:val="Normal"/>
    <w:link w:val="Heading1Char"/>
    <w:uiPriority w:val="9"/>
    <w:qFormat/>
    <w:rsid w:val="008B7CD5"/>
    <w:pPr>
      <w:keepNext/>
      <w:keepLines/>
      <w:numPr>
        <w:numId w:val="1"/>
      </w:numPr>
      <w:spacing w:before="480"/>
      <w:outlineLvl w:val="0"/>
    </w:pPr>
    <w:rPr>
      <w:rFonts w:eastAsiaTheme="majorEastAsia" w:cstheme="majorBidi"/>
      <w:b/>
      <w:bCs/>
      <w:sz w:val="24"/>
      <w:szCs w:val="28"/>
    </w:rPr>
  </w:style>
  <w:style w:type="paragraph" w:styleId="Heading2">
    <w:name w:val="heading 2"/>
    <w:basedOn w:val="Normal"/>
    <w:next w:val="Normal"/>
    <w:link w:val="Heading2Char"/>
    <w:uiPriority w:val="9"/>
    <w:unhideWhenUsed/>
    <w:qFormat/>
    <w:rsid w:val="008B7CD5"/>
    <w:pPr>
      <w:keepNext/>
      <w:keepLines/>
      <w:numPr>
        <w:numId w:val="2"/>
      </w:numPr>
      <w:spacing w:before="200"/>
      <w:outlineLvl w:val="1"/>
    </w:pPr>
    <w:rPr>
      <w:rFonts w:eastAsiaTheme="majorEastAsia" w:cstheme="majorBidi"/>
      <w:bCs/>
      <w:i/>
      <w:szCs w:val="26"/>
    </w:rPr>
  </w:style>
  <w:style w:type="paragraph" w:styleId="Heading3">
    <w:name w:val="heading 3"/>
    <w:basedOn w:val="Normal"/>
    <w:next w:val="Normal"/>
    <w:link w:val="Heading3Char"/>
    <w:uiPriority w:val="9"/>
    <w:unhideWhenUsed/>
    <w:qFormat/>
    <w:rsid w:val="008B7CD5"/>
    <w:pPr>
      <w:keepNext/>
      <w:keepLines/>
      <w:numPr>
        <w:numId w:val="3"/>
      </w:numPr>
      <w:spacing w:before="200"/>
      <w:outlineLvl w:val="2"/>
    </w:pPr>
    <w:rPr>
      <w:rFonts w:eastAsiaTheme="majorEastAsia" w:cstheme="majorBidi"/>
      <w:bCs/>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9D443D"/>
    <w:rPr>
      <w:rFonts w:ascii="Tahoma" w:hAnsi="Tahoma" w:cs="Tahoma"/>
      <w:sz w:val="16"/>
      <w:szCs w:val="16"/>
    </w:rPr>
  </w:style>
  <w:style w:type="character" w:customStyle="1" w:styleId="BalloonTextChar">
    <w:name w:val="Balloon Text Char"/>
    <w:basedOn w:val="DefaultParagraphFont"/>
    <w:link w:val="BalloonText"/>
    <w:uiPriority w:val="99"/>
    <w:semiHidden/>
    <w:rsid w:val="009D443D"/>
    <w:rPr>
      <w:rFonts w:ascii="Tahoma" w:hAnsi="Tahoma" w:cs="Tahoma"/>
      <w:sz w:val="16"/>
      <w:szCs w:val="16"/>
    </w:rPr>
  </w:style>
  <w:style w:type="paragraph" w:styleId="Header">
    <w:name w:val="header"/>
    <w:basedOn w:val="Normal"/>
    <w:link w:val="HeaderChar"/>
    <w:uiPriority w:val="99"/>
    <w:unhideWhenUsed/>
    <w:rsid w:val="009D443D"/>
    <w:pPr>
      <w:tabs>
        <w:tab w:val="center" w:pos="4153"/>
        <w:tab w:val="right" w:pos="8306"/>
      </w:tabs>
    </w:pPr>
  </w:style>
  <w:style w:type="character" w:customStyle="1" w:styleId="HeaderChar">
    <w:name w:val="Header Char"/>
    <w:basedOn w:val="DefaultParagraphFont"/>
    <w:link w:val="Header"/>
    <w:uiPriority w:val="99"/>
    <w:rsid w:val="009D443D"/>
  </w:style>
  <w:style w:type="paragraph" w:styleId="Footer">
    <w:name w:val="footer"/>
    <w:basedOn w:val="Normal"/>
    <w:link w:val="FooterChar"/>
    <w:uiPriority w:val="99"/>
    <w:unhideWhenUsed/>
    <w:rsid w:val="009D443D"/>
    <w:pPr>
      <w:tabs>
        <w:tab w:val="center" w:pos="4153"/>
        <w:tab w:val="right" w:pos="8306"/>
      </w:tabs>
    </w:pPr>
  </w:style>
  <w:style w:type="character" w:customStyle="1" w:styleId="FooterChar">
    <w:name w:val="Footer Char"/>
    <w:basedOn w:val="DefaultParagraphFont"/>
    <w:link w:val="Footer"/>
    <w:uiPriority w:val="99"/>
    <w:rsid w:val="009D443D"/>
  </w:style>
  <w:style w:type="character" w:styleId="Hyperlink">
    <w:name w:val="Hyperlink"/>
    <w:basedOn w:val="DefaultParagraphFont"/>
    <w:uiPriority w:val="99"/>
    <w:unhideWhenUsed/>
    <w:rsid w:val="009D443D"/>
    <w:rPr>
      <w:color w:val="0000FF" w:themeColor="hyperlink"/>
      <w:u w:val="single"/>
    </w:rPr>
  </w:style>
  <w:style w:type="character" w:customStyle="1" w:styleId="Heading1Char">
    <w:name w:val="Heading 1 Char"/>
    <w:basedOn w:val="DefaultParagraphFont"/>
    <w:link w:val="Heading1"/>
    <w:uiPriority w:val="9"/>
    <w:rsid w:val="008B7CD5"/>
    <w:rPr>
      <w:rFonts w:ascii="Book Antiqua" w:eastAsiaTheme="majorEastAsia" w:hAnsi="Book Antiqua" w:cstheme="majorBidi"/>
      <w:b/>
      <w:bCs/>
      <w:sz w:val="24"/>
      <w:szCs w:val="28"/>
    </w:rPr>
  </w:style>
  <w:style w:type="character" w:customStyle="1" w:styleId="Heading2Char">
    <w:name w:val="Heading 2 Char"/>
    <w:basedOn w:val="DefaultParagraphFont"/>
    <w:link w:val="Heading2"/>
    <w:uiPriority w:val="9"/>
    <w:rsid w:val="008B7CD5"/>
    <w:rPr>
      <w:rFonts w:ascii="Book Antiqua" w:eastAsiaTheme="majorEastAsia" w:hAnsi="Book Antiqua" w:cstheme="majorBidi"/>
      <w:bCs/>
      <w:i/>
      <w:szCs w:val="26"/>
    </w:rPr>
  </w:style>
  <w:style w:type="paragraph" w:styleId="NoSpacing">
    <w:name w:val="No Spacing"/>
    <w:uiPriority w:val="1"/>
    <w:qFormat/>
    <w:rsid w:val="008B7CD5"/>
    <w:pPr>
      <w:spacing w:after="0" w:line="240" w:lineRule="auto"/>
      <w:jc w:val="both"/>
    </w:pPr>
    <w:rPr>
      <w:rFonts w:ascii="Book Antiqua" w:hAnsi="Book Antiqua"/>
    </w:rPr>
  </w:style>
  <w:style w:type="character" w:customStyle="1" w:styleId="Heading3Char">
    <w:name w:val="Heading 3 Char"/>
    <w:basedOn w:val="DefaultParagraphFont"/>
    <w:link w:val="Heading3"/>
    <w:uiPriority w:val="9"/>
    <w:rsid w:val="008B7CD5"/>
    <w:rPr>
      <w:rFonts w:ascii="Book Antiqua" w:eastAsiaTheme="majorEastAsia" w:hAnsi="Book Antiqua" w:cstheme="majorBidi"/>
      <w:bCs/>
      <w:u w:val="single"/>
    </w:rPr>
  </w:style>
  <w:style w:type="paragraph" w:styleId="ListParagraph">
    <w:name w:val="List Paragraph"/>
    <w:basedOn w:val="Normal"/>
    <w:uiPriority w:val="34"/>
    <w:qFormat/>
    <w:rsid w:val="00171088"/>
    <w:pPr>
      <w:ind w:left="720"/>
    </w:pPr>
  </w:style>
  <w:style w:type="paragraph" w:customStyle="1" w:styleId="tv2132">
    <w:name w:val="tv2132"/>
    <w:basedOn w:val="Normal"/>
    <w:rsid w:val="00171088"/>
    <w:pPr>
      <w:spacing w:line="360" w:lineRule="auto"/>
      <w:ind w:firstLine="300"/>
    </w:pPr>
    <w:rPr>
      <w:rFonts w:ascii="Times New Roman" w:hAnsi="Times New Roman"/>
      <w:color w:val="414142"/>
      <w:sz w:val="20"/>
      <w:szCs w:val="20"/>
      <w:lang w:eastAsia="lv-LV"/>
    </w:rPr>
  </w:style>
  <w:style w:type="paragraph" w:styleId="FootnoteText">
    <w:name w:val="footnote text"/>
    <w:basedOn w:val="Normal"/>
    <w:link w:val="FootnoteTextChar"/>
    <w:uiPriority w:val="99"/>
    <w:semiHidden/>
    <w:unhideWhenUsed/>
    <w:rsid w:val="003467E1"/>
    <w:rPr>
      <w:sz w:val="20"/>
      <w:szCs w:val="20"/>
    </w:rPr>
  </w:style>
  <w:style w:type="character" w:customStyle="1" w:styleId="FootnoteTextChar">
    <w:name w:val="Footnote Text Char"/>
    <w:basedOn w:val="DefaultParagraphFont"/>
    <w:link w:val="FootnoteText"/>
    <w:uiPriority w:val="99"/>
    <w:semiHidden/>
    <w:rsid w:val="003467E1"/>
    <w:rPr>
      <w:rFonts w:ascii="Calibri" w:hAnsi="Calibri" w:cs="Times New Roman"/>
      <w:sz w:val="20"/>
      <w:szCs w:val="20"/>
    </w:rPr>
  </w:style>
  <w:style w:type="character" w:styleId="FootnoteReference">
    <w:name w:val="footnote reference"/>
    <w:basedOn w:val="DefaultParagraphFont"/>
    <w:uiPriority w:val="99"/>
    <w:semiHidden/>
    <w:unhideWhenUsed/>
    <w:rsid w:val="003467E1"/>
    <w:rPr>
      <w:vertAlign w:val="superscript"/>
    </w:rPr>
  </w:style>
  <w:style w:type="character" w:customStyle="1" w:styleId="apple-converted-space">
    <w:name w:val="apple-converted-space"/>
    <w:basedOn w:val="DefaultParagraphFont"/>
    <w:rsid w:val="00044CE5"/>
  </w:style>
  <w:style w:type="paragraph" w:customStyle="1" w:styleId="tv213">
    <w:name w:val="tv213"/>
    <w:basedOn w:val="Normal"/>
    <w:rsid w:val="00647AC3"/>
    <w:pPr>
      <w:spacing w:before="100" w:beforeAutospacing="1" w:after="100" w:afterAutospacing="1"/>
    </w:pPr>
    <w:rPr>
      <w:rFonts w:ascii="Times New Roman" w:eastAsia="Times New Roman" w:hAnsi="Times New Roman"/>
      <w:sz w:val="24"/>
      <w:szCs w:val="24"/>
      <w:lang w:eastAsia="lv-LV"/>
    </w:rPr>
  </w:style>
  <w:style w:type="paragraph" w:styleId="NormalWeb">
    <w:name w:val="Normal (Web)"/>
    <w:basedOn w:val="Normal"/>
    <w:uiPriority w:val="99"/>
    <w:semiHidden/>
    <w:unhideWhenUsed/>
    <w:rsid w:val="009A45F5"/>
    <w:pPr>
      <w:spacing w:before="100" w:beforeAutospacing="1" w:after="100" w:afterAutospacing="1"/>
    </w:pPr>
    <w:rPr>
      <w:rFonts w:ascii="Times New Roman" w:eastAsia="Times New Roman" w:hAnsi="Times New Roman"/>
      <w:sz w:val="24"/>
      <w:szCs w:val="24"/>
      <w:lang w:eastAsia="lv-LV"/>
    </w:rPr>
  </w:style>
  <w:style w:type="paragraph" w:customStyle="1" w:styleId="labojumupamats">
    <w:name w:val="labojumu_pamats"/>
    <w:basedOn w:val="Normal"/>
    <w:rsid w:val="001B74B6"/>
    <w:pPr>
      <w:spacing w:before="100" w:beforeAutospacing="1" w:after="100" w:afterAutospacing="1"/>
    </w:pPr>
    <w:rPr>
      <w:rFonts w:ascii="Times New Roman" w:eastAsia="Times New Roman" w:hAnsi="Times New Roman"/>
      <w:sz w:val="24"/>
      <w:szCs w:val="24"/>
      <w:lang w:eastAsia="lv-LV"/>
    </w:rPr>
  </w:style>
  <w:style w:type="character" w:styleId="FollowedHyperlink">
    <w:name w:val="FollowedHyperlink"/>
    <w:basedOn w:val="DefaultParagraphFont"/>
    <w:uiPriority w:val="99"/>
    <w:semiHidden/>
    <w:unhideWhenUsed/>
    <w:rsid w:val="004F3F12"/>
    <w:rPr>
      <w:color w:val="800080" w:themeColor="followedHyperlink"/>
      <w:u w:val="single"/>
    </w:rPr>
  </w:style>
  <w:style w:type="character" w:customStyle="1" w:styleId="UnresolvedMention1">
    <w:name w:val="Unresolved Mention1"/>
    <w:basedOn w:val="DefaultParagraphFont"/>
    <w:uiPriority w:val="99"/>
    <w:semiHidden/>
    <w:unhideWhenUsed/>
    <w:rsid w:val="003E39C2"/>
    <w:rPr>
      <w:color w:val="605E5C"/>
      <w:shd w:val="clear" w:color="auto" w:fill="E1DFDD"/>
    </w:rPr>
  </w:style>
  <w:style w:type="paragraph" w:customStyle="1" w:styleId="Bezatstarpm1">
    <w:name w:val="Bez atstarpēm1"/>
    <w:qFormat/>
    <w:rsid w:val="00CC58FA"/>
    <w:pPr>
      <w:spacing w:after="0" w:line="240" w:lineRule="auto"/>
    </w:pPr>
    <w:rPr>
      <w:rFonts w:ascii="Calibri" w:eastAsia="Calibri" w:hAnsi="Calibri" w:cs="Times New Roman"/>
    </w:rPr>
  </w:style>
  <w:style w:type="character" w:styleId="UnresolvedMention">
    <w:name w:val="Unresolved Mention"/>
    <w:basedOn w:val="DefaultParagraphFont"/>
    <w:uiPriority w:val="99"/>
    <w:semiHidden/>
    <w:unhideWhenUsed/>
    <w:rsid w:val="009D376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2852382">
      <w:bodyDiv w:val="1"/>
      <w:marLeft w:val="0"/>
      <w:marRight w:val="0"/>
      <w:marTop w:val="0"/>
      <w:marBottom w:val="0"/>
      <w:divBdr>
        <w:top w:val="none" w:sz="0" w:space="0" w:color="auto"/>
        <w:left w:val="none" w:sz="0" w:space="0" w:color="auto"/>
        <w:bottom w:val="none" w:sz="0" w:space="0" w:color="auto"/>
        <w:right w:val="none" w:sz="0" w:space="0" w:color="auto"/>
      </w:divBdr>
    </w:div>
    <w:div w:id="104736141">
      <w:bodyDiv w:val="1"/>
      <w:marLeft w:val="0"/>
      <w:marRight w:val="0"/>
      <w:marTop w:val="0"/>
      <w:marBottom w:val="0"/>
      <w:divBdr>
        <w:top w:val="none" w:sz="0" w:space="0" w:color="auto"/>
        <w:left w:val="none" w:sz="0" w:space="0" w:color="auto"/>
        <w:bottom w:val="none" w:sz="0" w:space="0" w:color="auto"/>
        <w:right w:val="none" w:sz="0" w:space="0" w:color="auto"/>
      </w:divBdr>
    </w:div>
    <w:div w:id="146672612">
      <w:bodyDiv w:val="1"/>
      <w:marLeft w:val="0"/>
      <w:marRight w:val="0"/>
      <w:marTop w:val="0"/>
      <w:marBottom w:val="0"/>
      <w:divBdr>
        <w:top w:val="none" w:sz="0" w:space="0" w:color="auto"/>
        <w:left w:val="none" w:sz="0" w:space="0" w:color="auto"/>
        <w:bottom w:val="none" w:sz="0" w:space="0" w:color="auto"/>
        <w:right w:val="none" w:sz="0" w:space="0" w:color="auto"/>
      </w:divBdr>
      <w:divsChild>
        <w:div w:id="1855142865">
          <w:marLeft w:val="0"/>
          <w:marRight w:val="0"/>
          <w:marTop w:val="480"/>
          <w:marBottom w:val="240"/>
          <w:divBdr>
            <w:top w:val="none" w:sz="0" w:space="0" w:color="auto"/>
            <w:left w:val="none" w:sz="0" w:space="0" w:color="auto"/>
            <w:bottom w:val="none" w:sz="0" w:space="0" w:color="auto"/>
            <w:right w:val="none" w:sz="0" w:space="0" w:color="auto"/>
          </w:divBdr>
        </w:div>
        <w:div w:id="1508135028">
          <w:marLeft w:val="0"/>
          <w:marRight w:val="0"/>
          <w:marTop w:val="0"/>
          <w:marBottom w:val="567"/>
          <w:divBdr>
            <w:top w:val="none" w:sz="0" w:space="0" w:color="auto"/>
            <w:left w:val="none" w:sz="0" w:space="0" w:color="auto"/>
            <w:bottom w:val="none" w:sz="0" w:space="0" w:color="auto"/>
            <w:right w:val="none" w:sz="0" w:space="0" w:color="auto"/>
          </w:divBdr>
        </w:div>
      </w:divsChild>
    </w:div>
    <w:div w:id="240141321">
      <w:bodyDiv w:val="1"/>
      <w:marLeft w:val="0"/>
      <w:marRight w:val="0"/>
      <w:marTop w:val="0"/>
      <w:marBottom w:val="0"/>
      <w:divBdr>
        <w:top w:val="none" w:sz="0" w:space="0" w:color="auto"/>
        <w:left w:val="none" w:sz="0" w:space="0" w:color="auto"/>
        <w:bottom w:val="none" w:sz="0" w:space="0" w:color="auto"/>
        <w:right w:val="none" w:sz="0" w:space="0" w:color="auto"/>
      </w:divBdr>
    </w:div>
    <w:div w:id="247470194">
      <w:bodyDiv w:val="1"/>
      <w:marLeft w:val="0"/>
      <w:marRight w:val="0"/>
      <w:marTop w:val="0"/>
      <w:marBottom w:val="0"/>
      <w:divBdr>
        <w:top w:val="none" w:sz="0" w:space="0" w:color="auto"/>
        <w:left w:val="none" w:sz="0" w:space="0" w:color="auto"/>
        <w:bottom w:val="none" w:sz="0" w:space="0" w:color="auto"/>
        <w:right w:val="none" w:sz="0" w:space="0" w:color="auto"/>
      </w:divBdr>
    </w:div>
    <w:div w:id="275331425">
      <w:bodyDiv w:val="1"/>
      <w:marLeft w:val="0"/>
      <w:marRight w:val="0"/>
      <w:marTop w:val="0"/>
      <w:marBottom w:val="0"/>
      <w:divBdr>
        <w:top w:val="none" w:sz="0" w:space="0" w:color="auto"/>
        <w:left w:val="none" w:sz="0" w:space="0" w:color="auto"/>
        <w:bottom w:val="none" w:sz="0" w:space="0" w:color="auto"/>
        <w:right w:val="none" w:sz="0" w:space="0" w:color="auto"/>
      </w:divBdr>
    </w:div>
    <w:div w:id="336200422">
      <w:bodyDiv w:val="1"/>
      <w:marLeft w:val="0"/>
      <w:marRight w:val="0"/>
      <w:marTop w:val="0"/>
      <w:marBottom w:val="0"/>
      <w:divBdr>
        <w:top w:val="none" w:sz="0" w:space="0" w:color="auto"/>
        <w:left w:val="none" w:sz="0" w:space="0" w:color="auto"/>
        <w:bottom w:val="none" w:sz="0" w:space="0" w:color="auto"/>
        <w:right w:val="none" w:sz="0" w:space="0" w:color="auto"/>
      </w:divBdr>
    </w:div>
    <w:div w:id="445972908">
      <w:bodyDiv w:val="1"/>
      <w:marLeft w:val="0"/>
      <w:marRight w:val="0"/>
      <w:marTop w:val="0"/>
      <w:marBottom w:val="0"/>
      <w:divBdr>
        <w:top w:val="none" w:sz="0" w:space="0" w:color="auto"/>
        <w:left w:val="none" w:sz="0" w:space="0" w:color="auto"/>
        <w:bottom w:val="none" w:sz="0" w:space="0" w:color="auto"/>
        <w:right w:val="none" w:sz="0" w:space="0" w:color="auto"/>
      </w:divBdr>
    </w:div>
    <w:div w:id="686834166">
      <w:bodyDiv w:val="1"/>
      <w:marLeft w:val="0"/>
      <w:marRight w:val="0"/>
      <w:marTop w:val="0"/>
      <w:marBottom w:val="0"/>
      <w:divBdr>
        <w:top w:val="none" w:sz="0" w:space="0" w:color="auto"/>
        <w:left w:val="none" w:sz="0" w:space="0" w:color="auto"/>
        <w:bottom w:val="none" w:sz="0" w:space="0" w:color="auto"/>
        <w:right w:val="none" w:sz="0" w:space="0" w:color="auto"/>
      </w:divBdr>
    </w:div>
    <w:div w:id="817695341">
      <w:bodyDiv w:val="1"/>
      <w:marLeft w:val="0"/>
      <w:marRight w:val="0"/>
      <w:marTop w:val="0"/>
      <w:marBottom w:val="0"/>
      <w:divBdr>
        <w:top w:val="none" w:sz="0" w:space="0" w:color="auto"/>
        <w:left w:val="none" w:sz="0" w:space="0" w:color="auto"/>
        <w:bottom w:val="none" w:sz="0" w:space="0" w:color="auto"/>
        <w:right w:val="none" w:sz="0" w:space="0" w:color="auto"/>
      </w:divBdr>
    </w:div>
    <w:div w:id="828206637">
      <w:bodyDiv w:val="1"/>
      <w:marLeft w:val="0"/>
      <w:marRight w:val="0"/>
      <w:marTop w:val="0"/>
      <w:marBottom w:val="0"/>
      <w:divBdr>
        <w:top w:val="none" w:sz="0" w:space="0" w:color="auto"/>
        <w:left w:val="none" w:sz="0" w:space="0" w:color="auto"/>
        <w:bottom w:val="none" w:sz="0" w:space="0" w:color="auto"/>
        <w:right w:val="none" w:sz="0" w:space="0" w:color="auto"/>
      </w:divBdr>
    </w:div>
    <w:div w:id="1131745594">
      <w:bodyDiv w:val="1"/>
      <w:marLeft w:val="0"/>
      <w:marRight w:val="0"/>
      <w:marTop w:val="0"/>
      <w:marBottom w:val="0"/>
      <w:divBdr>
        <w:top w:val="none" w:sz="0" w:space="0" w:color="auto"/>
        <w:left w:val="none" w:sz="0" w:space="0" w:color="auto"/>
        <w:bottom w:val="none" w:sz="0" w:space="0" w:color="auto"/>
        <w:right w:val="none" w:sz="0" w:space="0" w:color="auto"/>
      </w:divBdr>
    </w:div>
    <w:div w:id="1151410956">
      <w:bodyDiv w:val="1"/>
      <w:marLeft w:val="0"/>
      <w:marRight w:val="0"/>
      <w:marTop w:val="0"/>
      <w:marBottom w:val="0"/>
      <w:divBdr>
        <w:top w:val="none" w:sz="0" w:space="0" w:color="auto"/>
        <w:left w:val="none" w:sz="0" w:space="0" w:color="auto"/>
        <w:bottom w:val="none" w:sz="0" w:space="0" w:color="auto"/>
        <w:right w:val="none" w:sz="0" w:space="0" w:color="auto"/>
      </w:divBdr>
    </w:div>
    <w:div w:id="1164586918">
      <w:bodyDiv w:val="1"/>
      <w:marLeft w:val="0"/>
      <w:marRight w:val="0"/>
      <w:marTop w:val="0"/>
      <w:marBottom w:val="0"/>
      <w:divBdr>
        <w:top w:val="none" w:sz="0" w:space="0" w:color="auto"/>
        <w:left w:val="none" w:sz="0" w:space="0" w:color="auto"/>
        <w:bottom w:val="none" w:sz="0" w:space="0" w:color="auto"/>
        <w:right w:val="none" w:sz="0" w:space="0" w:color="auto"/>
      </w:divBdr>
    </w:div>
    <w:div w:id="1360157865">
      <w:bodyDiv w:val="1"/>
      <w:marLeft w:val="0"/>
      <w:marRight w:val="0"/>
      <w:marTop w:val="0"/>
      <w:marBottom w:val="0"/>
      <w:divBdr>
        <w:top w:val="none" w:sz="0" w:space="0" w:color="auto"/>
        <w:left w:val="none" w:sz="0" w:space="0" w:color="auto"/>
        <w:bottom w:val="none" w:sz="0" w:space="0" w:color="auto"/>
        <w:right w:val="none" w:sz="0" w:space="0" w:color="auto"/>
      </w:divBdr>
    </w:div>
    <w:div w:id="1581792141">
      <w:bodyDiv w:val="1"/>
      <w:marLeft w:val="0"/>
      <w:marRight w:val="0"/>
      <w:marTop w:val="0"/>
      <w:marBottom w:val="0"/>
      <w:divBdr>
        <w:top w:val="none" w:sz="0" w:space="0" w:color="auto"/>
        <w:left w:val="none" w:sz="0" w:space="0" w:color="auto"/>
        <w:bottom w:val="none" w:sz="0" w:space="0" w:color="auto"/>
        <w:right w:val="none" w:sz="0" w:space="0" w:color="auto"/>
      </w:divBdr>
    </w:div>
    <w:div w:id="1586763342">
      <w:bodyDiv w:val="1"/>
      <w:marLeft w:val="0"/>
      <w:marRight w:val="0"/>
      <w:marTop w:val="0"/>
      <w:marBottom w:val="0"/>
      <w:divBdr>
        <w:top w:val="none" w:sz="0" w:space="0" w:color="auto"/>
        <w:left w:val="none" w:sz="0" w:space="0" w:color="auto"/>
        <w:bottom w:val="none" w:sz="0" w:space="0" w:color="auto"/>
        <w:right w:val="none" w:sz="0" w:space="0" w:color="auto"/>
      </w:divBdr>
    </w:div>
    <w:div w:id="1817141822">
      <w:bodyDiv w:val="1"/>
      <w:marLeft w:val="0"/>
      <w:marRight w:val="0"/>
      <w:marTop w:val="0"/>
      <w:marBottom w:val="0"/>
      <w:divBdr>
        <w:top w:val="none" w:sz="0" w:space="0" w:color="auto"/>
        <w:left w:val="none" w:sz="0" w:space="0" w:color="auto"/>
        <w:bottom w:val="none" w:sz="0" w:space="0" w:color="auto"/>
        <w:right w:val="none" w:sz="0" w:space="0" w:color="auto"/>
      </w:divBdr>
    </w:div>
    <w:div w:id="1888375590">
      <w:bodyDiv w:val="1"/>
      <w:marLeft w:val="0"/>
      <w:marRight w:val="0"/>
      <w:marTop w:val="0"/>
      <w:marBottom w:val="0"/>
      <w:divBdr>
        <w:top w:val="none" w:sz="0" w:space="0" w:color="auto"/>
        <w:left w:val="none" w:sz="0" w:space="0" w:color="auto"/>
        <w:bottom w:val="none" w:sz="0" w:space="0" w:color="auto"/>
        <w:right w:val="none" w:sz="0" w:space="0" w:color="auto"/>
      </w:divBdr>
    </w:div>
    <w:div w:id="2021811829">
      <w:bodyDiv w:val="1"/>
      <w:marLeft w:val="0"/>
      <w:marRight w:val="0"/>
      <w:marTop w:val="0"/>
      <w:marBottom w:val="0"/>
      <w:divBdr>
        <w:top w:val="none" w:sz="0" w:space="0" w:color="auto"/>
        <w:left w:val="none" w:sz="0" w:space="0" w:color="auto"/>
        <w:bottom w:val="none" w:sz="0" w:space="0" w:color="auto"/>
        <w:right w:val="none" w:sz="0" w:space="0" w:color="auto"/>
      </w:divBdr>
    </w:div>
    <w:div w:id="20445565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pasts@em.gov.lv" TargetMode="Externa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arturs.spigulis@ska.lv" TargetMode="External"/><Relationship Id="rId14" Type="http://schemas.openxmlformats.org/officeDocument/2006/relationships/fontTable" Target="fontTable.xml"/></Relationships>
</file>

<file path=word/_rels/footer2.xml.rels><?xml version="1.0" encoding="UTF-8" standalone="yes"?>
<Relationships xmlns="http://schemas.openxmlformats.org/package/2006/relationships"><Relationship Id="rId2" Type="http://schemas.openxmlformats.org/officeDocument/2006/relationships/hyperlink" Target="http://www.ska.lv" TargetMode="External"/><Relationship Id="rId1" Type="http://schemas.openxmlformats.org/officeDocument/2006/relationships/hyperlink" Target="mailto:law@ska.lv"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Darbinieks\AppData\Roaming\Microsoft\Templates\Veidlapa_SKA.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1487491-0A61-43A5-8AC8-6D8528FB69B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Veidlapa_SKA.dotx</Template>
  <TotalTime>1</TotalTime>
  <Pages>5</Pages>
  <Words>10131</Words>
  <Characters>5776</Characters>
  <Application>Microsoft Office Word</Application>
  <DocSecurity>4</DocSecurity>
  <Lines>48</Lines>
  <Paragraphs>31</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Microsoft</Company>
  <LinksUpToDate>false</LinksUpToDate>
  <CharactersWithSpaces>15876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ZAB</dc:creator>
  <cp:lastModifiedBy>Intars Eglītis</cp:lastModifiedBy>
  <cp:revision>2</cp:revision>
  <cp:lastPrinted>2021-07-15T12:03:00Z</cp:lastPrinted>
  <dcterms:created xsi:type="dcterms:W3CDTF">2021-09-29T10:23:00Z</dcterms:created>
  <dcterms:modified xsi:type="dcterms:W3CDTF">2021-09-29T10:23:00Z</dcterms:modified>
</cp:coreProperties>
</file>