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un nepieciešamības gadījumā precizēt anotācijas 1. sadaļā norādīto naudas soda apmēru, atsaucoties uz E- pierādījumu regulas 15. panta 1.punktu, jo pašlaik anotācijā dažviet norādīts naudas sods 2% apmērā, savukārt citviet- līdz 2%.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Cināte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01.12.2025.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01.12.2025.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