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Darba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normālo dienas vai nedēļas darba laiku, tad šis laiks netiek uzskatīts par virsstundu darbu, ja darbinieka kopējais nostrādātais laiks mēneša ietvaros nepārsniedz normālo mēneša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ir iepazinusies ar tiesību akta projektu un uztur iebildumu, ka attiecībā par 134. panta devīto daļu ierosinājums par grafika iepazīstināšanas termiņu ne vēlāk kā 2 nedēļas iepriekš praksē radītu ievērojamu slogu darba devējiem. Lai darba devējs varētu izpildīt šo prasību, darbinieki būtu jāsāk iepazīstināt ar nākamā mēneša darba grafiku iepriekšējā mēneša pirmajos datumos. Darba specifikas dēļ, kā arī darbinieku attaisnotas prombūtnes dēļ, kas iepriekš nav prognozējama (piemēram, darbnespēja), divas nedēļas iepriekš plānotie darba grafiki būs ļoti aptuveni un nepārtraukti koriģējami – kas ir papildu administratīvais slogs darba devējam un nemitīgu izmaiņu saskaņošana ar darbiniekiem un viņu iepazīstināšana ar grozījumiem grafikā.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formulējums ir neatbilstošs Darba likumā noteiktajam dalījumam starp nolīgto darba laika veidu un darba laika organizācijas veidu. Darba likums paredz normālo darba laiku un nepilnu darba laiku kā nolīgtā darba laika veidu. Savukārt darba laiku saskaņā ar Darba likumu var organizēt: kā nakts darbu, maiņu darbu vai summēto darba laiku. Likuma 134. pants attiecas uz nepilnu darba laiku un tā nosacījumiem, savukārt par darba grafikiem ir noteikts Darba likuma 140. panta pirmajā daļā, kas paredz noteikumus par darba laika organizāciju summētā darba laika ietvaros, un kur noteikts, ka darba devējam ir pienākums laikus iepazīstināt darbinieku ar darba grafiku. Ja saskaņā ar 134. panta astoto daļu tiek pieļauts nepilns summētais darba laiks, tad uz to būs attiecināmi 140. pantā ietvertie summētā darba laika nosacījumi. Tādēļ LTRK ieskatā Darba likuma 134. panta papildinājums ar devīto daļu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30.06.2025.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30.06.2025.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Atzinumi_24-TA-3042.docx</dc:title>
</cp:coreProperties>
</file>

<file path=docProps/custom.xml><?xml version="1.0" encoding="utf-8"?>
<Properties xmlns="http://schemas.openxmlformats.org/officeDocument/2006/custom-properties" xmlns:vt="http://schemas.openxmlformats.org/officeDocument/2006/docPropsVTypes"/>
</file>