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attiecināmais finansējums ir 85 249 026 </w:t>
            </w:r>
            <w:r w:rsidR="00000000" w:rsidRPr="00000000" w:rsidDel="00000000">
              <w:rPr>
                <w:i w:val="1"/>
                <w:rtl w:val="0"/>
              </w:rPr>
              <w:t xml:space="preserve">euro</w:t>
            </w:r>
            <w:r w:rsidR="00000000" w:rsidRPr="00000000" w:rsidDel="00000000">
              <w:rPr>
                <w:rtl w:val="0"/>
              </w:rPr>
              <w:t xml:space="preserve"> (elastības finansējums – 16 594 351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 72 461 672 </w:t>
            </w:r>
            <w:r w:rsidR="00000000" w:rsidRPr="00000000" w:rsidDel="00000000">
              <w:rPr>
                <w:i w:val="1"/>
                <w:rtl w:val="0"/>
              </w:rPr>
              <w:t xml:space="preserve">euro </w:t>
            </w:r>
            <w:r w:rsidR="00000000" w:rsidRPr="00000000" w:rsidDel="00000000">
              <w:rPr>
                <w:rtl w:val="0"/>
              </w:rPr>
              <w:t xml:space="preserve">(elastības finansējums – 14 105 199 </w:t>
            </w:r>
            <w:r w:rsidR="00000000" w:rsidRPr="00000000" w:rsidDel="00000000">
              <w:rPr>
                <w:i w:val="1"/>
                <w:rtl w:val="0"/>
              </w:rPr>
              <w:t xml:space="preserve">euro</w:t>
            </w:r>
            <w:r w:rsidR="00000000" w:rsidRPr="00000000" w:rsidDel="00000000">
              <w:rPr>
                <w:rtl w:val="0"/>
              </w:rPr>
              <w:t xml:space="preserve">) un valsts budžeta finansējums – 12 787 354</w:t>
            </w:r>
            <w:r w:rsidR="00000000" w:rsidRPr="00000000" w:rsidDel="00000000">
              <w:rPr>
                <w:i w:val="1"/>
                <w:rtl w:val="0"/>
              </w:rPr>
              <w:t xml:space="preserve"> euro</w:t>
            </w:r>
            <w:r w:rsidR="00000000" w:rsidRPr="00000000" w:rsidDel="00000000">
              <w:rPr>
                <w:rtl w:val="0"/>
              </w:rPr>
              <w:t xml:space="preserve"> (elastības finansējums – 2 489 152 </w:t>
            </w:r>
            <w:r w:rsidR="00000000" w:rsidRPr="00000000" w:rsidDel="00000000">
              <w:rPr>
                <w:i w:val="1"/>
                <w:rtl w:val="0"/>
              </w:rPr>
              <w:t xml:space="preserve">euro</w:t>
            </w:r>
            <w:r w:rsidR="00000000" w:rsidRPr="00000000" w:rsidDel="00000000">
              <w:rPr>
                <w:rtl w:val="0"/>
              </w:rPr>
              <w:t xml:space="preserve">). Maksimālais attiecināmais ERAF finansējuma apmērs nepārsniedz 85 procentus no projekta kopējā attiecināmā finansējuma. Projektu iesniegumos pasākuma īstenošanai kopējo pasākumam pieejamo finansējumu plāno ne vairāk kā 68 654 675 </w:t>
            </w:r>
            <w:r w:rsidR="00000000" w:rsidRPr="00000000" w:rsidDel="00000000">
              <w:rPr>
                <w:i w:val="1"/>
                <w:rtl w:val="0"/>
              </w:rPr>
              <w:t xml:space="preserve">euro </w:t>
            </w:r>
            <w:r w:rsidR="00000000" w:rsidRPr="00000000" w:rsidDel="00000000">
              <w:rPr>
                <w:rtl w:val="0"/>
              </w:rPr>
              <w:t xml:space="preserve">apmērā, tai skaitā ERAF finansējumu – 58 356 473 </w:t>
            </w:r>
            <w:r w:rsidR="00000000" w:rsidRPr="00000000" w:rsidDel="00000000">
              <w:rPr>
                <w:i w:val="1"/>
                <w:rtl w:val="0"/>
              </w:rPr>
              <w:t xml:space="preserve">euro </w:t>
            </w:r>
            <w:r w:rsidR="00000000" w:rsidRPr="00000000" w:rsidDel="00000000">
              <w:rPr>
                <w:rtl w:val="0"/>
              </w:rPr>
              <w:t xml:space="preserve">apmērā, valsts budžeta finansējumu – 10 298 202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Eiropas Komisijas puses vēl nav apstiprināti Eiropas Savienības kohēzijas politikas programmas 2021.–2027.gadam (turpmāk - programma) grozījumi, tad lūdzam papildināt MK sēdes protokollēmuma projektu ar atļauju Ekonomikas ministrijai veikt finansējuma pārdali, kā arī ar Ekonomikas ministrijas rīcību, gadījumā, ja Eiropas komisija neapstiprina programmas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noteikuma projekta ietekmi uz finansējuma saņēmēju un ka tiks veikt grozījumi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skaidrojumu par izdevumu pozīciju atbilstību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skaidrojumu par noteikumu projekta ietekmi uz LIAA projekta un galasaņēmēju projektiem, tai skaitā skaidrojot, vai būs nepieciešams veikt grozījumus projektam Nr.1.2.3.1/1/23/I/001 un projektiem, kas noslēgti starp LIAA un galasaņēmējiem.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pēc kādiem principiem tika izvēlētas atbalstāmas trīs Latvijas Investīciju un attīstības aģentūras (turpmāk - LIAA) ārvalstu pārstāvniecības (Ženēvā, Izraēlā un Briselē), kurām sniegt ES fondu atbalstu. Ņemot vērā karadarbību starp Izraēlas valsti un Palestīnas valsti, lūdzam izvērtēt ES fondu ieguldījuma lietderību LIAA Izraēlas pārstāvniecības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 3.sadaļas 6.punktā jāsniedz skaidrojošā informācija/aprēķins, kas pamato izmaiņu ailēs norādīto papildu finansējuma apmēru. Ievērojot, ka 1.2.3.1. pasākuma "Atbalsts MVU inovatīvas uzņēmējdarbības attīstībai" īstenošanas noteikumi"  īstenošanai ir plānots pārdalīt finansējumu kopā 11 869 475 euro apmērā, attiecīgi minētajā sadaļas punktā jānorāda šī finansējuma izlietojums pa gadiem. Vienlaikus punktā “Cita informācija” lūdzam norādīt Ekonomikas ministrijas budžeta programmu, kurā 2024.-2026.gadam ik gadu ir ieplānots finansējums 15 098 155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samazināt anotācijas 3.sadaļas apakšsadaļā "Cita informācija" norādīto 1.1.2.2. pasākuma “Uzņēmumu digitālo prasmju attīstība” kopējo (9 869 476 EUR) un valsts budžeta (1 480 422 EUR) pārdalāmo finansējumu par 1 EUR, jo tas neatbilst noteikumu projektā ietvertai summai.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Investīciju un attīstības aģentūrai divu nedēļu laikā pēc noteikumu spēkā stāšanās iesniegt Centrālajai finanšu un līgumu aģentūrai noslēgtās vienošanās grozījumus, palielinot finansējumu un sasniedzamos rādītājus uz 2029.gada 31.decembri.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sēdes protokollēmuma projekta 3.punktu izteikt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Investīciju un attīstības aģentūrai divu nedēļu laikā pēc noteikumu spēkā stāšanās iesniegt Centrālajai finanšu un līgumu aģentūrai </w:t>
            </w:r>
            <w:r w:rsidR="00000000" w:rsidRPr="00000000" w:rsidDel="00000000">
              <w:rPr>
                <w:u w:val="single"/>
                <w:rtl w:val="0"/>
              </w:rPr>
              <w:t xml:space="preserve">kā Eiropas Savienības fondu 2021.-2027. gada plānošanas perioda sadarbības iestādei</w:t>
            </w:r>
            <w:r w:rsidR="00000000" w:rsidRPr="00000000" w:rsidDel="00000000">
              <w:rPr>
                <w:rtl w:val="0"/>
              </w:rPr>
              <w:t xml:space="preserve"> noslēgtās vienošanās </w:t>
            </w:r>
            <w:r w:rsidR="00000000" w:rsidRPr="00000000" w:rsidDel="00000000">
              <w:rPr>
                <w:u w:val="single"/>
                <w:rtl w:val="0"/>
              </w:rPr>
              <w:t xml:space="preserve">par projekta īstenošanu</w:t>
            </w:r>
            <w:r w:rsidR="00000000" w:rsidRPr="00000000" w:rsidDel="00000000">
              <w:rPr>
                <w:rtl w:val="0"/>
              </w:rPr>
              <w:t xml:space="preserve"> grozījumus, palielinot finansējumu un sasniedzamos rādītājus uz 2029.gada 31.decembri.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Latvijas Republikas komercreģistrā reģistrēti komersanti, kas atbilst sīkā (mikro), mazā vai vidējā saimnieciskās darbības subjekta statusam saskaņā ar Eiropas Komisijas 2014. gada 17. jūnija Regulas (ES) Nr. 651/2014, ar ko noteiktas atbalsta kategorijas atzīst par saderīgām ar iekšējo tirgu, piemērojot Līguma 107. un 108. pantu (turpmāk – regula Nr. 651/2014), 2.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Tehniskajos precizējumos norādīts, ka tiek precizēta atsauces uz gala labuma guvējiem biznesa inkubācijas atbalstam, bet pats precizējums veikts attiecībā uz motivācijas atbalstu. Ja precizējumu attiecas uz biznesa inkubācijas atbalstu, tad būtu jāprecizē 2.2.2.apakšpunkts, izdalot to apakšpunktos 2.2.2.1. un 2.2.2.2., tā arī attiecīgi būtu jāprecizē 72.2. un 72.3.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37.</w:t>
            </w:r>
            <w:r w:rsidR="00000000" w:rsidRPr="00000000" w:rsidDel="00000000">
              <w:rPr>
                <w:rtl w:val="0"/>
              </w:rPr>
              <w:t xml:space="preserve"> punktā minēto atbalstāmo darbību ietvaros radušās izmaksas ir attiecināmas atbilstoši atbildīgās iestādes izstrādātajām vienkāršoto izmaksu metodikām, kas saskaņotas ar vadošo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38.punktu, jo 37.1. un 37.3. - 37.5. apakšpunktā minētajām atbalstāmajām darbībām nav vienkāršoto izmaksu metodikas.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37.2. apakšpunktā minēto atbalstāmo darbību ietvaros radušās izmaksas ir attiecināmas atbilstoši atbildīgās iestādes izstrādātajām vienkāršoto izmaksu metodikām, kas saskaņotas ar vadošo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Krilova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04.06.2024.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04.06.2024.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Atzinumi_24-TA-1191.docx</dc:title>
</cp:coreProperties>
</file>

<file path=docProps/custom.xml><?xml version="1.0" encoding="utf-8"?>
<Properties xmlns="http://schemas.openxmlformats.org/officeDocument/2006/custom-properties" xmlns:vt="http://schemas.openxmlformats.org/officeDocument/2006/docPropsVTypes"/>
</file>