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Traktortehnikas un tās velkamo transportlīdzekļu atbilstības novērtēšanas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Noteikumi stājas spēkā 2025. gada 1. jūlijā.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31. punktu atbilstoši anotācijā skaidrotajam projekta spēkā stāšanās termiņam - 2026. gada 1. jūlijam. Vēršam uzmanību, ka Latvijas tiesību sistēmā pamatā nav piemērojamas tiesību normas ar atpakaļejošu spēku. Proti, Oficiālo publikāciju un tiesiskās informācijas likums 9. pants tostarp noteic, ka normatīvajam aktam vai tā daļai nav atpakaļejoša spēka, izņemot likumā īpaši paredzētus gadījumus.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20.03.2026. 17.57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20.03.2026. 17.57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Atzinumi_23-TA-2771.docx</dc:title>
</cp:coreProperties>
</file>

<file path=docProps/custom.xml><?xml version="1.0" encoding="utf-8"?>
<Properties xmlns="http://schemas.openxmlformats.org/officeDocument/2006/custom-properties" xmlns:vt="http://schemas.openxmlformats.org/officeDocument/2006/docPropsVTypes"/>
</file>