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dublēšanos ar Latviešu vēsturisko zemju un kultūrtelpu attīstības plānu 2022.-2027.gadam, kas ir izstrādes stadijā, atkārtoti lūdzam svītrot Valsts valodas pamatnostādņu īstenošanas plāna 2024.-2027.gadam projektā iekļautos pasākumus 3.4.1., 3.4.2. un 3.4.3.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2023.gada 14.novembra atzinumā par Valsts valodas pamatnostādņu īstenošanas plāna 2024.-2027.gadam projektu norādīja, ka ņemot vērā, ka ceļu satiksmes infrastruktūras jautājumi ir Satiksmes ministrijas kompetencē, lūdzam kā Valsts valodas pamatnostādņu īstenošanas plāna 2024.-2027.gadam projekta 1.3.5. pasākuma atbildīgo institūciju noteikt Satiksmes ministriju, nevis Kultūras ministriju. Izglītības un zinātnes ministrija izziņā norādījusi, ka pasākums no Plāna izņemts, taču pieejamajā dokumentā šāds pasākums iekļauts punktā 1.3.3. Ņemot vērā iepriekš minēto,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20.janvāra rīkojumu Nr. 55 “Par Valdības rīcības plānu Deklarācijas par Evikas Siliņas vadītā Ministru kabineta iecerēto darbību īstenošanai” (turpmāk – Valdības rīcības plāns) kā 8.1.pasākums ir noteikts: “Izveidots vienots latviešu valodas apguves mehānisms atbilstoši piešķirtajam valsts budžeta finansējumam: valsts valodas apguves pieaugušajiem kursu piedāvājuma vienotas sistēmas izstrāde, atbalsts kursu kvalitātes nodrošināšanai, pedagogu pieaugušajiem sagatavošanai un mācību procesa nodrošināšanai. Konkrēts finansējuma apjoms pasākuma īstenošanai tiks noteikts ikgadējā valsts budžeta veidošanas procesā”. Tāpēc aicinām Valsts valodas pamatnostādņu īstenošanas plāna 2024.-2027.gadam 3.nodaļā "Rīcības virzieni un pasākumi mērķa sasniegšanai" precizēt 2.3.1.pasākuma “Valsts valodas apguves sistēmas pieaugušajiem pilnveide, pakāpeniska ieviešana un mācību procesa atbalsts” un tā rezultatīvo rādītāju redakcijas saskaņā ar  Valdības rīcības plānā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kā līdzatbildīgo institūciju par 2.3.1.2. darbības rezultāta “Latviešu valodas apguves sistēmas pilnveide” 1. un 8.rezultatīvo rādītāju norādīt Kultūras ministriju, kā arī 8.rezultatīvo rādītāju aicinām izteikt šādā redakcijā: “valodas apguves sistēmas pieaugušajiem administrēšana un konsultatīvais atbalsts, valodas kursu organizēšana un koordinēšana (līdz 2500 valodas apguvēju gadā, kā arī vismaz 2 930 trešo valstu pilsoņi un starptautiskās aizsardzības saņēmēji apguvuši latviešu valodas mācību kursu ne mazāk kā 120 stundu apjomā un 2024.gadā vismaz 6 375 Ukrainas civiliedzīvotāji apguvuši latviešu valodas mācību kursu vismaz 120 stundu apjomā), reģionālo koordinatoru iesaiste, kursu norise”. Vienlaikus 8.rezultatīvajam rādītājam lūdzam pievienot šādas zemsvītras atsauces: 1. “Finansējums latviešu valodas mācību nodrošināšanai trešo valstu pilsoņiem un starptautiskās aizsardzības saņēmējiem (Patvēruma, migrācijas un integrācijas fonda 2021.-2027.gada plānošanas perioda ietvaros) ir ietverts Saliedētas un pilsoniski aktīvas sabiedrības attīstības plānā 2024.-2027.gadam (projekts)”; 2. “Finansējums latviešu valodas mācību nodrošināšanai Ukrainas civiliedzīvotājiem 2024.gadā ir ietverts Pasākumu plānā atbalsta sniegšanai Ukrainas civiliedzīvotājiem Latvijas Republikā 2024.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Jekele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ceļu satiksmes infrastruktūras jautājumi ir Satiksmes ministrijas kompetencē, lūdzam papildināt Valsts valodas pamatnostādņu īstenošanas plāna 2024.-2027.gadam projekta 1.5.2.5.apakšpasākuma 4.punkta līdzatbildīgo institūciju loku ar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Līdzatbildīgie - 4) NVO, KM, VARAM, SM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31.01.2024. 22.55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31.01.2024. 22.55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