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atbalstāmās darbības un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noteikumu projekta 1.6. apakšpunkta izpratnē ir attiecināmības nosacījumi, kādēļ lūdzam atbilstoši precizēt noteikumu projekta 1.6. apakšpunktu, norādot uz izmaksu attiecināmības nosacījumiem, kuri pēc būtības regulēti noteikumu projektā un uz kuriem norādīts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investīcijas projekta īstenošanā iesaista sadarbības partnerus, noslēdzot ar tiem sadarbības līgumu par pušu savstarpējām saistībām attiecībā uz investīcijas projekta īstenošanu vai izdodot rīkojumu (turpmāk –  sadarbības līgums), īstenojot: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projektu papildināt ar regulējumu par to, kādā termiņā noslēdzams sadarbības līgums vai izdodams rīkojums, tai skaitā, vai minētās darbības veicamas līdz projekta iesnieguma apstiprināšanas brīdim. Papildus atbilstoši juridiskās tehnikas prasībām lūdzam noteikumu projektā neatrunāt saīsinājumu "sadarbības līgums", ņemot vērā, ka rīkojuma izdošanas gadījumā netiek slēgts līgums, bet gan tiek izdots vienpusējs un individuāls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publiskas personas dibināta kapitālsabiedrība un izglītības iestāde, kas nodrošina profesionālās vidējās izglītības un arodizglītības programmu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7.1.4. un 7.1.5. apakšpunktā nedublēt noteikumu projekta 7.1.2. un 7.1.3. apakšpunktā ietverto regulējumu, ņemot vērā, ka arī valsts ir publiska persona, kādēļ nav skaidrs, par kādām publiskajām personām konkrēti tiek 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portatīvās datortehnikas piešķiršanas juridiskos aspektus, tai skaitā pieteikuma veidlapu paraugus, paredzot portatīvās datortehnikas izsniegšanu, balstoties uz izglītojamā, kas nav sasniedzis 18 gadu vecumu, likumiskā pārstāvja vai izglītojamā, kas ir sasniedzis 18 gadu vecumu, pieteikumu par portatīvās datortehnikas piešķiršanu un portatīvās datortehnikas piešķiršanas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15.2.1. apakšpunktā svītrot vārdus "un portatīvās datortehnikas piešķiršanas kritērijiem", ņemot vērā, ka nav skaidrs pamatojums iesniegt pamatojumu par portatīvās datortehnikas piešķiršanas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15.2.2.7. citi izglītojamie, kurus sadarbības partneris definējis kā sociāli neaizsargātos.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3.1. apakšpunktu ar 15.2.2.7. apakšpunktu, noteikumu projektā skaidri norādot, kuri izglītojamie noteikumu projekta izpratnē atzīstami par sociāli neaizsargātiem.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7.1. apakšpunktā minētajam sadarbības partnerim pieder portatīvās datortehnikas īpašumtiesības pēc pieņemšanas - nodošanas akta parakstīšanas 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 punktu, neskaidrojot tajā īpašumtiesību pārejas regulējumu, kas izriet no Civillikuma, kā arī pēc būtības nedublējot tajā arī noteikumu projekta 19. punktā ietverto regulējumu. Nepieciešamības gadījumā lūdzam precizēt arī noteikumu projekta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zvērināta revidenta vai audita pakalpojuma izmaksas, lai gūtu pārliecību par projektā veikto izmaksu un sasniegto rezultātu esamību, pamatotību un atbilstību investīcijas projekta īstenošanas nosacījumiem un saistošo normatīvo aktu prasībām, tai skaitā (ja attiecināms) apliecinot interešu konflikta, dubultā finansējuma, korupcijas un krāpšanas situāciju pazīmju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18.10. apakšpunktā skaidrot, kādos gadījumos apliecināma attiecīgo situāciju (interešu konflikta, dubultā finansējuma, korupcijas un krāpšanas) pazīmju neesība.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citas izmaksas, kas saistītas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tiesiskās noteiktības nolūkā lūdzam noteikumu projekta 18.11. apakšpunktā minēt vismaz konkrētus citu izmaksu piemērus, ja nav iespējams izmaksas uzskaitīt izsmeļoši, vai šādus piemērus iekļaut un attiecīgās izmaksas izvērsti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nosacījumi datu ievadei Kohēzijas politikas fondu vadības informācijas sistēmā (turpmāk – vadības informācijas sistēma), datu ievades regularitāte, kas ir nepieciešama, lai uzraudzītu Atveseļošanas fonda plāna ieviešanas progresu un nodrošinātu datu pieejamību, un to apstrādi atbilstoši Atveseļošanas fonda plāna īstenošanas uzraudzības kārtībā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22.7. apakšpunktā norādi uz Atveseļošanas fonda plāna īstenošanas uzraudzības kārtību aizstāt ar atsauci uz normatīvajiem aktiem par Eiropas Savienības Atveseļošanas un noturības mehānisma plāna īstenošanas un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10 darbadienu laikā pēc šo noteikumu apstiprināšanas atbildīgā nozares ministrija nosūta finansējuma saņēmējam uzaicinājumu iesniegt investīcijas projekta iesniegumu vadības informācijas sistēmā, tās norādītajā investīcijas projekta iesnieguma iesniegšanas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Oficiālo publikāciju un tiesiskās informācijas likumam Ministru kabineta noteikumus pieņem, nevis apstiprina, lūdzam atbilstoši precizēt noteikumu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pēc tam, kad finansējuma saņēmējs ir ievadījis projekta datus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pieprasīt finansējuma saņēmējam veikt precizējumus, līdz  investīcijas projekta iesniegums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norādīt konkrētu Eiropas Parlamenta un Padomes 2018.gada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vienību, kas paredz izslēgšanas kritērijus, tādējādi atvieglojot noteikumu projekta piemērošanu praksē. Kā arī aicinām minētajā punktā svītrot norādi "tik tālu cik tas attiecināms", ņemot vērā, ka šai norādei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pēc tam, kad finansējuma saņēmējs ir ievadījis projekta datus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pieprasīt finansējuma saņēmējam veikt precizējumus, līdz  investīcijas projekta iesniegums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nodrošināt konsekventu izteikmi un vienveidīgi norādīt uz to, ka finansējuma saņēmējam tiek lūgts veikt papildinājumus un precizējumus iesniegtajā investīcijas projekta iesniegumā (šobrīd norādīts arī uz nozares ministrijas tiesībām pieprasīt finansējuma saņēmējam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iesnieguma izvērtēšanas apstiprina investīcijas projekta iesniegumu vadības informācijas sistēmā  un vienlaikus informē finansējuma saņēmēju par projekta iesnieguma apstiprināšanu un investīcijas projekta īstenošanas uzsākšanu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punktā atrunāt, kādā gadījumā projekta iesniegums tiek apstiprināts, tādējādi nodrošinot skaidras tiesību normas. Papildus lūdzam noteikumu projektā lietot vienveidīgu un konsekventu izteiksmi attiecībā uz to, vai apstiprināts tiek projekta iesniegums vai projekta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Eiropas Savienības fondu 2021.–2027. gada plānošanas perioda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35.3. apakšpunktā svītrot atsauci uz Eiropas Savienības fondu 2021.–2027. gada plānošanas perioda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nodrošinās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personas datu aizsardzības obligāto tehnisko un organizatorisko prasību izpildi un drošības pasākumu ievērošanu saskaņā ar Eiropas Parlamenta un Padomes regulu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42. punktu, jo attiecīgajai normai nav juridiskas slodzes. Nepieciešamības gadījumā lūdzam noteikumu projektā ietvert vienīgi normas, kas ir saistītas ar attiecīgās regulas 6. panta trešajā daļā u.c. ietverto prasību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informāciju dzēš atbilstoši Valsts izglītības informācijas sistēmas normatīvajam regulējumam, bet dati, kas saņemti citā formā, savstarpēji vienojoties ar informācijas devēju, tiek dzēsti piecus gadus pēc investīcijas projekta noslēguma.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noteikumu projekta anotācijā noteikumu projekta 43. punktā ietvertā regulējuma pamatotību (jo īpaši attiecībā uz datu dzēšanu piecus gadus pēc investīcijas projekta noslēguma), nepieciešamību un mērķi un nepieciešamības gadījumā svītrot minēto punktu. Tai skaitā paužam bažas, ka no noteikumu projekta izdošanas tiesiskā pamata izriet, ka Ministru kabinets ir noteikt vienīgi iesaistīto institūciju tiesības pieprasīt un saņemt tiešu pieeju datiem valsts informācijas sistēmās un pieprasāmo datu apjomu, bet cita starpā nevar paredzēt datu apstrādi ārpus atveseļošanas un noturības mehānisma ietvaros īstenota projekta ietvara.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atbildīgās nozares ministrijas funkcijas pilda Izglītības un zinātnes ministrija (turpmāk – atbildīgā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atrunāt saīsinājumu "nozares ministrija", nevis "atbildīgā nozares ministrija", tādējādi nodrošinot vienveidīgu terminoloģiju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tiešās pārvaldes iestādes, kas ir profesionālās pamata un vidējas izglītības iestāžu, kas īsteno profesionālās pamatizglītības un vidējās izglītības programmas un arodizglītības programmas, dibinātājas;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7.1.2. apakšpunktā u.c. izvairīties no vietniekvārda "kas" vairākkārtējas izmantošanas, jo no attiecīgās teikuma konstrukcijas nav gūstama nepārprotama pārliecība, uz ko šis vietniekvārds konkrēti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valsts tiešās valsts pārvaldes iestādes, kas ir profesionālās augstākās izglītības iestādes, kas īsteno profesionālo vidējo izglītības programmu un arodizglītības programmu, dibinātājas.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7.1.6. apakšpunktā svītrot vārdu valsts, novēršot tehnisku kļūdu. Papildus lūdzam arī citās 7. punkta apakšvienībās svītrot vārdu "valsts", ņemot vērā, ka tiešās pārvaldes iestādes ir attiecināmas vienīgi uz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investīcijas ietvaros veiktas pirms investīcijas projekta iesnieguma apstiprināšanas, varētu netikt vai netiek attiecinātas finansēšanai no Atveseļošanas  fonda. Izglītības un zinātnes ministrs iesniedz attiecīgu informatīvo ziņojumu, kurā norādīts detalizēts apraksts par radušos situāciju, neatbilstības rašanās cēloņiem un finansiālo ietekmi, un sniegt aprakstu par iespējamo risinājumu, lai turpinātu investīcijas projekta īstenošanu, tajā skaitā sniedzot fiskāli neitrālus priekšlikumus un veicot finansējuma pārdali starp Izglītības un zinātnes ministrijas budžeta programmām/apakšprogrammām, lai nodrošinātu investīcijas projekta neattiecināto izdevumu segšanu.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5. punktā simbolu "/" aizstāt ar saikli "un" vai saikli "vai", jo no lēmuma projekta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