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Autopārvadājumu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“Grozījumi likumā “Par nodokļiem un nodevām”” (22-TA-390) tika sadalīts, izdalot atsevišķā likumprojektā normas, kas saistītas ar saimnieciskās darbības apturēšanas un administratīvās atbildības jautājumiem,  lūdzam anotācijas 1.3.apakšpunktā  aizstāt atsaucē uz likumprojekta "Grozījumi likumā "Par nodokļiem un nodevām" numuru skaitļus  un burtus "22-TA-390" ar skaitļiem un burtiem "22-TA-2462".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anotācijas I sadaļas 1.3.punktā norādīto likuma 29.pantā veikto grozījumu mērķi, proti, [...l</w:t>
            </w:r>
            <w:r w:rsidR="00000000" w:rsidRPr="00000000" w:rsidDel="00000000">
              <w:rPr>
                <w:i w:val="1"/>
                <w:rtl w:val="0"/>
              </w:rPr>
              <w:t xml:space="preserve">īdz ar to lieguma darbības laikā autotransporta transportlīdzekli nevarēs izmantot ne komercpārvadājumos ar taksometru, ne ar vieglo automobili, neatkarīgi no tā, kādi komercpārvadājumi ar to iepriekš ir veikti...]</w:t>
            </w:r>
            <w:r w:rsidR="00000000" w:rsidRPr="00000000" w:rsidDel="00000000">
              <w:rPr>
                <w:rtl w:val="0"/>
              </w:rPr>
              <w:t xml:space="preserve">, saskatām par lietderīgu pārskatīt lieguma nosaukumu un ierosinām to precizēt, aizstājot saikli "vai" ar "un" (attiecīgi precizējot likumprojektu un anotācijā norādīto lieguma nosaukumu). Vienlaikus vēlamies informēt, ka atbilstoši precizējumi tiks veikti arī Finanšu ministrijas virzītajā likumprojektā ""Grozījumi likumā "Par nodokļiem un nodevām"" (22-TA-2462).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Voiniča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"57.</w:t>
            </w:r>
            <w:r w:rsidR="00000000" w:rsidRPr="00000000" w:rsidDel="00000000">
              <w:rPr>
                <w:b w:val="1"/>
                <w:vertAlign w:val="superscript"/>
                <w:rtl w:val="0"/>
              </w:rPr>
              <w:t xml:space="preserve">1 </w:t>
            </w:r>
            <w:r w:rsidR="00000000" w:rsidRPr="00000000" w:rsidDel="00000000">
              <w:rPr>
                <w:b w:val="1"/>
                <w:rtl w:val="0"/>
              </w:rPr>
              <w:t xml:space="preserve">pants. Tīmekļvietnes un mobilās lietotnes pakalpojumu sniegšanas noteikumu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tīmekļvietnes vai mobilās lietotnes pakalpojuma sniedzējam noteiktā aizlieguma lietotnē reģistrēt un piedāvāt prasībām neatbilstošu pārvadātāju, autovadītāju un autotransporta līdzekli neievērošanu piemēro naudas sodu tīmekļvietnes vai mobilās lietotnes pakalpojuma sniedzējam no septiņdesmit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nepamatotu piekļuves liegšanu pasažierim pasažieru komercpārvadājumu pakalpojumam piemēro naudas sodu tīmekļvietnes vai mobilās lietotnes pakalpojuma sniedzējam no septiņdesmit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ņemot vērā Satiksmes ministrijas virzītā likumprojekta anotācijas I sadaļā sniegto paskaidrojumu par šajā likumprojektā paredzēto administratīvo atbildību - </w:t>
            </w:r>
            <w:r w:rsidR="00000000" w:rsidRPr="00000000" w:rsidDel="00000000">
              <w:rPr>
                <w:i w:val="1"/>
                <w:rtl w:val="0"/>
              </w:rPr>
              <w:t xml:space="preserve">par  tīmekļvietnes vai mobilās lietotnes pakalpojuma sniedzējam noteiktā aizlieguma lietotnē reģistrēt un piedāvāt prasībām neatbilstošu pārvadātāju, autovadītāju un autotransporta līdzekli neievērošanu piemērot naudas sodu tīmekļvietnes vai mobilās lietotnes pakalpojuma sniedzējam, kā arī par pārvadātāju sniegto, atteikto un veikto pasažieru komercpārvadājumu, autovadītāju un autotransporta līdzekļu datu apstrādes, uzglabāšanas  pienākumu nepildīšanu piemērot naudas sodu tīmekļvietnes vai mobilās lietotnes pakalpojuma sniedzējam</w:t>
            </w:r>
            <w:r w:rsidR="00000000" w:rsidRPr="00000000" w:rsidDel="00000000">
              <w:rPr>
                <w:rtl w:val="0"/>
              </w:rPr>
              <w:t xml:space="preserve"> - atbilstoši precizējumi tiks veikti arī Finanšu ministrijas virzītajā likumprojektā ""Grozījumi likumā "Par nodokļiem un nodevām" (22-TA-2462).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Voiniča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likuma pārejas noteikumus ar 51.punktu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Šā likuma grozījumi par 29.panta otrās un ceturtās daļas izteikšanu jaunā redakcijā stājas spēkā vienlaikus ar attiecīgajiem grozījumiem likumā "Par nodokļiem nodevām."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51.punktā norādīto likuma nosaukumu - </w:t>
            </w:r>
            <w:r w:rsidR="00000000" w:rsidRPr="00000000" w:rsidDel="00000000">
              <w:rPr>
                <w:i w:val="1"/>
                <w:rtl w:val="0"/>
              </w:rPr>
              <w:t xml:space="preserve">likumā "Par nodokļiem un nodevām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Voiniča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vēlas informēt, ka, ņemot vērā Tieslietu ministrijas iebildumus, likumprojekts “Grozījumi likumā “Par nodokļiem un nodevām”” (22-TA-390) tika sadalīts, izdalot atsevišķā likumprojektā "Grozījumi likumā "Par nodokļiem un nodevām"" (22-TA-2462)  normas, kas sagatavotas atbilstoši sadarbībā ar Satiksmes ministriju izstrādātajam konceptam attiecībā uz regulējuma stiprināšanu (saimnieciskās darbības apturēšanas un administratīvās atbildības jautājumi) pasažieru komercpārvadājumu jomā. Līdz ar to ierosinām anotācijā  precizēt atsauces uz likumprojektu "Grozījumi likumā "Par nodokļiem un nodevām"", aizstājot tā TAP numuru  "22-TA-390" ar numuru "22-TA-2462".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ministrija vēlas vērst uzmanību, ka atbilstoši sanāksmes laikā (š.g. 5.augustā, piedalījās arī SM pārstāvji) panāktajai vienošanai par nepieciešamību stiprināt arī īpašnieku atbildību un disciplinēt tos caur nepieciešamību pirms nodot transportlīdzekli, pārliecināties, ka persona (transportlīdzekļa lietotājs) tik tiešām ir spējīga pildīt attiecīgās jomas, kurā plāno darboties, prasības, tika precizēts likumprojekts “Grozījumi likumā “Par nodokļiem un nodevām”” (22-TA-2462), paredzot iespēju tieši transportlīdzekļa īpašniekam saņemt atpakaļ transportlīdzekļa valsts reģistrācijas numurzīmes, lūdzot atcelt piemēroto nodrošinājuma līdzekli tā īpašumam, ja viņš ir rīkojies kā rūpīgs saimnieks. Finanšu ministrijas ieskatā, lai šāds risinājums efektīvi darbotos, ir nepieciešams veikt attiecīgus papildinājumus arī autopārvadājumu jomu regulējošajos normatīvajos aktos. Vienlaikus, mūsuprāt, virzāmā koncepta piemērošanas efektivitātes uzlabošanai ir nepieciešams pārskatīt un stiprināt tehniskās prasības tehnoloģiskajiem risinājumiem, kurus izmanto tīmekļvietņu vai mobilo lietotņu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Voiniča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22-TA-424</w:t>
    </w:r>
    <w:r>
      <w:br/>
    </w:r>
    <w:r w:rsidR="00000000" w:rsidRPr="00000000" w:rsidDel="00000000">
      <w:rPr>
        <w:rtl w:val="0"/>
      </w:rPr>
      <w:t xml:space="preserve">Izdrukāts 08.11.2022.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22-TA-424</w:t>
    </w:r>
    <w:r>
      <w:br/>
    </w:r>
    <w:r w:rsidR="00000000" w:rsidRPr="00000000" w:rsidDel="00000000">
      <w:rPr>
        <w:rtl w:val="0"/>
      </w:rPr>
      <w:t xml:space="preserve">Izdrukāts 08.11.2022.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Atzinumi_22-TA-424.docx</dc:title>
</cp:coreProperties>
</file>

<file path=docProps/custom.xml><?xml version="1.0" encoding="utf-8"?>
<Properties xmlns="http://schemas.openxmlformats.org/officeDocument/2006/custom-properties" xmlns:vt="http://schemas.openxmlformats.org/officeDocument/2006/docPropsVTypes"/>
</file>