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tiesu ekspertīžu institūta reformas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tiesu ekspertīžu institūta reformas gaitu"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apkopējas atalgojuma ( 12.tabulas ieraksts gan par 2026., gan arī 2027.gadu) (mēnešalgas) apmēru. 2026.gadam minimālā alga būs - 780 euro (skalas viduspunkts), jo saskaņā ar Valsts un pašvaldību institūciju amatpersonu un darbnieku atlīdzības likuma 3.pielikumā norādīto piežimi - "Mēnešalga, kuru nosaka, piemērojot koeficientu pret bāzes mēnešalgu, nedrīkst būt zemāka par minimālās mēneša darba algas apmēru normālā darba laika ietvaros". Attiecīgi nepieciešams precizēt visu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aprēķinu par 2027.gadu, kur norādītā mēnešalga šobrīd ir 772 euro, kas ir pat zemāk nekā ietverts 2026.gada detalizētajā aprēķinā, taču paredzamā minimālā alga tiek lēsta 820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08.11.2025.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08.11.2025.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Atzinumi_25-TA-2213.docx</dc:title>
</cp:coreProperties>
</file>

<file path=docProps/custom.xml><?xml version="1.0" encoding="utf-8"?>
<Properties xmlns="http://schemas.openxmlformats.org/officeDocument/2006/custom-properties" xmlns:vt="http://schemas.openxmlformats.org/officeDocument/2006/docPropsVTypes"/>
</file>