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 3., 4., 5. un 7.pielikumā sadaļā “Cita būtiska informācija” norādīt detalizētus aprēķinus plānotajām uzturēšanas izmaksām pēc projekta pabeigšanas, t. sk. norādot informāciju par iespējam segt uzturēšanas izmaksas par projekta īstenošanu atbildīgo ministriju/iestāžu esošo valsts budžeta līdzekļu ietvaros, savukārt 1. un 6.pielikumā sadaļā “Cita būtiska informācija” lūdzam norādīt prognozēto uzturēšanas izmaksu apmēru (attiecībā uz 1.pielikumu lūdzam ņemt atzinuma 3.iebildumā norādīto, kā arī ņemt vērā, ka detalizētu aprēķinu izmaksām VID nosūtīs VARAM e-pastā, tai skaitā sniedzot informāciju par iespējām finansējumu nodrošināt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samazināt norādīto uzturēšanas izmaksu apmēru, ņemot vērā, ka tas ir nesamērīgi augsts, vērtējot pret plānotajiem ieguldījumiem, proti, īstenojot 7 projektus ar finansējumu 39,2 milj. euro apmērā, tai skaitā ERAF finansējumu 33,3 milj. euro apmērā, rodas nepieciešamība rezultātu uzturēšanai nodrošināt finansējumu ik gadu 6,1 milj. euro apmērā, piemēram, lielākās uzturēšanas izmaksas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- 5.pielikumā Zemkopības ministrijas projekta “Zemkopības resora IKT infrastruktūras (LAD datu centrs) un koplietošanas drošības risinājumu un informācijas sistēmu kiberdrošības stiprināšana” uzturēšanai ik gadu 150 000 euro, kas ir 37,5% apmērā no projekta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- 2.pielikumā SIA “Latvijas Digitālās veselības centrs” projekta “Latvijas Digitālās veselības centra uzturēto IT sistēmu drošības un rezerves infrastruktūras risinājumu izveide” uzturēšanai ik gadu 898 632,80 euro apmērā, kas ir 27,2% apmērā no projekta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- 4.pielikumā Iekšlietu ministrijas Informācijas centra projekta “Kiberdraudu samazināšana iekšlietu nozarē" uzturēšanai ik gadu 3 469 444,00 euro apmērā, kas ir 19,0% apmērā no projekta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- 7.pielikumā Valsts digitālās attīstības aģentūras projekta “Valsts kritisko IKT risinājumu un pakalpojumu infrastruktūras un kiberdrošības stiprināšana Valsts digitālās attīstības aģentūrā” uzturēšanai ik gadu 1 237 621,95 euro apmērā, kas ir 18,2% apmērā no projekta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4.pielikumā Iekšlietu ministrijas Informācijas centra projekta “Kiberdraudu samazināšana iekšlietu nozarē" uzturēšanas izmaksas ir precizējamas, svītrojot no tām izmaksas un jaunu amata vietu cilvēkresursu nodrošināšanai, ievērojot, ka virzībai uz mazu un efektīvu valsts pārvaldi, veikto kapitālieguldījumu nodrošināšana jāveic esošo cilvēkresursu un tām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ieņēmumu dienesta projekts “IKT attīstība saistībā ar pāreju uz kompetenču centra mākoņpakalpojumu izmantošanu datu pieejamības un augstas kiberdrošības nodrošināšanai”, kopējais finansējums - 3 527 090 euro, tajā skaitā Eiropas Reģionālās attīstības fonda finansējums - 2 998 026,5 euro un nacionālais finansējums - 529 063,5 euro (1.pielikums);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izmaiņas projekta nosaukumā atbilstoši projekta pasē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IKT attīstība, paplašinot Valsts elektronisko sakaru pakalpojumu centra (VESPC) pakalpojumu izmantošanu datu pieejamības un augstas kiberdrošības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“IKT attīstība saistībā ar pāreju uz kompetenču centra mākoņpakalpojumu izmantošanu datu pieejamības un augstas kiberdrošības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projekta pasi ar informāciju par uzturēšanas un atlīdzības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termiņa beigām ik gadu būs nepieciešams papildu finansējums IKT risinājuma uzturēšanai 352 709 EUR apmērā. Projekta ietvaros plānota atlīdzība projekta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“IKT attīstība saistībā ar pāreju uz kompetenču centra mākoņpakalpojumu izmantošanu datu pieejamības un augstas kiberdrošības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labot projekta nosaukumu atbilstoši pasē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IKT attīstība, paplašinot Valsts elektronisko sakaru pakalpojumu centra (VESPC) pakalpojumu izmantošanu datu pieejamības un augstas kiberdrošības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Kolosovska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pārliecību, ka projekta ietvaros netiek sniegts atbalsts saimnieciskās darbības veikšanai un komercdarbības atbalsts saimnieciskās darbības veicējam, un ņemot vērā to, ka tā ir būtiska informācija projekta izvērtēšanai, lūdzam izvērtēt, vai finansējuma saņēmējam un sadarbības partneriem sniegtais atbalsts nav kvalificējams kā atbalsts saimnieciskai darbībai un kā komercdarbības atbalsts. Skaidrojam, ka gadījumā, ja atbalsts tiek sniegts, piemēram, valsts deleģētas funkcijas veikšanai, tas atbilstoši Komisijas paziņojuma par Līguma par Eiropas Savienības darbību 107. panta 1. punktā minēto valsts atbalsta jēdzienu (C/2016/2946) 17.punktā noteiktajam, nav atbalsts saimnieciskai darbībai. Šādā gadījumā, lūdzam anotācijā un projektu pasēs norādīt kādu valsts pārvaldes uzdevuma izpildi projekta finansējuma saņēmējs un/vai sadarbības partneris projekta ietvaros plāno veikt, lai pamatotu, ka projekta ietvaros radītais informācijas un komunikācijas tehnoloģijas risinājums ir nepieciešams konkrētu valsts deleģētu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tiek konstatēts, ka kāda projekta ietvaros atbalsts tiek sniegts saimnieciskai darbībai un tas kvalificējas kā komercdarbības atbalsts, lūdzam attiecīgi rīkojuma projektā svītrot šo projektu no atbalstāmo projektu saraksta, jo 1.3.1.3. pasākuma "IKT risinājumu un pakalpojumu kiberdrošības paaugstināšana" ietvaros komercdarbības atbalsts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1.punktā un tā apakšpunktos finansējuma apmēru norādīt finansējumu veselos skaitļos, pārliecinoties, lai sniegtā informācija sakrīt ar anotācijas 3.sadaļā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noteikumi Nr.320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apstiprināti Ministru kabineta sēdē 2025.gada 27.maijā, lūdzam precizēt rīkojuma projekta 2.pielikuma “1.3.1.3._pase_LDVC_f.docx” 3.atsauci.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visu pasākuma ietvaros plānoto projektu summa atbilst ES fondu finansējums atbilst Ministru kabineta 27. maija 2025. gada noteikumu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12.punktam. Vēršam uzmanību, ka rīkojuma projektā ES fondu finansējums ir par 80 centiem lielāks.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visas pases projektus ar informāciju attiecībā uz projektam piešķirto ES fondu un nacionālo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Iekšlietu ministrijas Informācijas centra projekts “Kiberdraudu samazināšana iekšlietu nozarē", finansējums - 18 213 695 euro, tajā skaitā Eiropas Reģionālās attīstības fonda finansējums - 15 481 640,75 euro un nacionālais finansējums - 2 732 054,25 euro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rīkojuma projekta 1.3. un 1.4. apakšpunkta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Digitālās veselības centra uzturēto IT sistēmu drošības un rezerves infrastruktūras risinājumu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pases projekta sasniedzamo rezultātu tabulā iekļauto informāciju attiecībā uz rādītāja "Izveidots rezerves datu centrs un tiek nodrošināta IS produkcijas vižu darbība arī no alternatīvās lokācijas" vērtību "50%". Vēršam uzmanību, ka no esošās redakcijas nav skaidrs, vai šī ir esošās situācijas vērtība vai plānotā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1.1.apakšsadaļas punktā “Apraksts” minētajiem Ministru kabineta noteikumiem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norādīt numuru, t.i. Nr.320.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norādi, ka finansējums projektu īstenošanai attiecībā uz ERAF līdzfinansējuma un valsts budžeta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novērstu dubultā finansējuma risku, projektu īstenotājiem ir jāizvairās no dublējošas kiberdrošības infrastruktūras vai risinājumu izveides gadījumos, kad attiecīgie pakalpojumi jau tiek centralizēti nodrošināti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3. punktu, jo tam nav juridiskas slodzes. Dubultā finansējuma neiestāšanās prasība izriet no Ministru kabineta 2025. gada 27. maija noteikumu Nr. 320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30. punkta, kā arī līguma vai vienošanās par projekta īstenošanu. Ja ir nepieciešams iekļaut paskaidrojošu prasību par dubultā finansējuma neiestāšanos, to var iekļaut līgumā vai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īstenotājiem projektu uzraudzības padomes sastāvā iekļaut Nacionālā kiberdrošības centra pārstāvjus, lai nodrošinātu kiberdrošības aktivitāšu koordināciju, uzraudzību un centralizēto pakalpojumu integrāciju.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(turpmāk – Protokollēmuma) 4. punkts nav Protokollēmumā nosakāms jautājums, jo skar </w:t>
            </w:r>
            <w:r w:rsidR="00000000" w:rsidRPr="00000000" w:rsidDel="00000000">
              <w:rPr>
                <w:b w:val="1"/>
                <w:rtl w:val="0"/>
              </w:rPr>
              <w:t xml:space="preserve">projekta iesniedzēja pienākumus</w:t>
            </w:r>
            <w:r w:rsidR="00000000" w:rsidRPr="00000000" w:rsidDel="00000000">
              <w:rPr>
                <w:rtl w:val="0"/>
              </w:rPr>
              <w:t xml:space="preserve">. Atbilstoši Ministru kabineta 2021. gada 7. septembra noteikumu Nr. 606 “Ministru kabineta kārtības rullis” 185. punktam lūdzam attiecīgo punktu svītrot un iekļaut šo noteikumu Rīkojuma projektā. Papildus lūdzam Rīkojumu projekta anotācijā ietvert attiecīgo skaidrojumu par minētā punkta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1. punktā norādītās institūcijas uzraudzības padomes sastāvā, kas izveidota, pamatojoties uz Ministru kabineta 2025. gada 27. maija noteikumu Nr. 320 "Par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39. punktu, iekļauj Nacionālā kiberdrošības centra pārstāvjus, lai nodrošinātu kiberdrošības aktivitāšu koordināciju, uzraudzību un centralizēto pakalpojumu integrāciju.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11.06.2025.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11.06.2025.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Atzinumi_25-TA-1094.docx</dc:title>
</cp:coreProperties>
</file>

<file path=docProps/custom.xml><?xml version="1.0" encoding="utf-8"?>
<Properties xmlns="http://schemas.openxmlformats.org/officeDocument/2006/custom-properties" xmlns:vt="http://schemas.openxmlformats.org/officeDocument/2006/docPropsVTypes"/>
</file>