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minētās darbības atbalstāmas, ja centralizētā siltumapgādes sistēma atbilst efektīvai centralizētajai siltumapgādes sistēmai atbilstoši Eiropas Parlamenta un Padomes Direktīvas 2012/27/ES par energoefektivitāti, ar ko groza Direktīvas 2009/125/EK un 2010/30/ES un atceļ Direktīvas 2004/8/EK un 2006/32/EK 2.panta 41.punktā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18. punktā ietverts skaidrojums, ka atsauce uz direktīvu projekta 29. punktā projekta saskaņošanas gaitā tiks svītrota, kad tiks pieņemts izziņā minētie grozījumi Enerģētikas likumā (21-TA-1563) un attiecīgi būs iespējams atsaukties uz nacionālā normatīvā akta normu, kurā pārņemta konkrētā direktīvas prasība. Reizē izprotot sniegto skaidrojumu, atkārtoti, kamēr atsauce nav svītrota un norma nav atbilstoši precizēta, atgādinām to, ka atsaukties uz direktīvām un to normām nacionālajos normatīvajos aktos nav pieļaujams. Atbilstoši Līguma par Eiropas Savienības darbību 288. panta trešajai daļai direktīvas dalībvalstīm uzliek saistības attiecībā uz sasniedzamo rezultātu, bet ļauj dalībvalstīm izvēlēties to īstenošanas formas un metodes. Proti, direktīvas atšķirībā no regulām nav tieši piemērojamas un tās kļūst saistošas personām tikai no brīža, kad tās ir pārņemtas Latvijas nacionālajos tiesību aktos. Attiecīgi lūdzam nodrošināt projekta atbilstību iepriekš minētajam un noteikumu projekta 29. punktā ietverto atsauci uz direktīvu aizstāt ar atsauci uz nacionālo normatīvo tiesību aktu un tā vienību, kurā konkrētā direktīvas prasība pārņemta, vai kā citādi atbilstoši precizēt projektu (salīdzinājumam sk. Ministru kabineta noteikumu projekta "Eiropas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 (23-TA-1895) izziņas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attiecināmības nosacījumus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1.5. apakšpunktu, ņemot vērā, ka Eiropas Savienības fondu 2021.—2027. gada plānošanas perioda vadības likuma 19. panta 13. punkts noteic, ka Ministru kabinets noteic cita starpā atbalstāmo darbību un izmaksu attiecināmības </w:t>
            </w:r>
            <w:r w:rsidR="00000000" w:rsidRPr="00000000" w:rsidDel="00000000">
              <w:rPr>
                <w:u w:val="single"/>
                <w:rtl w:val="0"/>
              </w:rPr>
              <w:t xml:space="preserve">nosacījumus</w:t>
            </w:r>
            <w:r w:rsidR="00000000" w:rsidRPr="00000000" w:rsidDel="00000000">
              <w:rPr>
                <w:rtl w:val="0"/>
              </w:rPr>
              <w:t xml:space="preserve">, nevis </w:t>
            </w:r>
            <w:r w:rsidR="00000000" w:rsidRPr="00000000" w:rsidDel="00000000">
              <w:rPr>
                <w:u w:val="single"/>
                <w:rtl w:val="0"/>
              </w:rPr>
              <w:t xml:space="preserve">nosacījumus un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projekta ietvaros radītie elektronisko iekārtu atkritumi un citi atkritumi tiks apsaimniekoti atbilstoši Atkritumu apsaimniekošanas likuma un normatīvo aktu atkritumu apsaimniekošanas jomā prasībām: tiks nodrošināta to savākšana, atkalizmantošana, sagatavošana pārstrādei un reģenerācijai, pārstrāde vai reģenerācija sadarbībā ar attiecīgu piesārņojošās darbības atļaujas saņēmušu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Atkritumu apsaimniekošanas likums arī ir normatīvais akts atkritumu apsaimniekošanas jomā (proti, Atkritumu apsaimniekošanas likums ir viens no normatīvajiem aktiem atkritumu apsaimniekošanas jomā), aicinām svītrot frāzi "Atkritumu apsaimniekošanas likuma un" kā lieku vai arī pirms vārdiem "normatīvo aktu" ievietot vārdu "citu".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dubultā finansējuma neiestāšanos, kā arī to, ka projektā plānotās darbības netiek finansētas no citiem valsts, pašvaldības un ārvalstu finanšu atbalsta instrumentiem, vai citiem publiskajiem līdzekļiem, izņemot, ja attiecināms,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paredzēto komercdarbības atbalsta kumulāciju.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34.2. apakšpunktā, nevis 35. punktā paredzēta komercdarbības atbalsta kumulācija, aicinām precizēt projekta 37. punktā ietverto iekšējo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30.7. apakšpunktā ietverto atsauci uz Eiropas Parlamenta un Padomes 2021. gada 24. jūnija Regulas (ES) Nr. 2021/1060 64.panta 1.punkta c) apakšpunktu, lūdzam papildināt anotācijas 5.4. sadaļas 1. tabulu ar informāciju par regulas normas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12.12.2023. 22.49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12.12.2023. 22.49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