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plānoto grozījumu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 ietekmi uz īstenošanā esošajiem projektiem, t.sk. vai būs nepieciešami grozījumi līgumos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dubultā finansējuma riskiem un kontroles kārtību projektos, t.i. veidu, kas nodrošina minēto risku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17.05.2024.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17.05.2024.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