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25. jūnija noteikumos Nr. 413 "Eiropas Savienības kohēzijas politikas programmas 2021.–2027. gadam 4.2. prioritārā virziena "Izglītība, prasmes un mūžizglītība" 4.2.4. specifiskā atbalsta mērķa "Veicināt mūžizglītību, jo īpaši piedāvājot elastīgas prasmju pilnveides un pārkvalifikācijas iespējas visiem, ņemot vērā uzņēmējdarbības un digitālās prasmes, labāk prognozējot pārmaiņas un vajadzību pēc jaunām prasmēm, pamatojoties uz darba tirgus vajadzībām, atvieglojot karjeras maiņu un sekmējot profesionālo mobilitāti" 4.2.4.1. pasākuma "Atbalsts nozaru vajadzībās balstītai pieaugušo izglītībai" pirmās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Tirdzniecības un rūpniecības kamera"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33.18. elektroniski parakstīt objektivitātes, konfidencialitātes un interešu konflikta neesības apliecinājumu (</w:t>
            </w:r>
            <w:r w:rsidR="00000000" w:rsidRPr="00000000" w:rsidDel="00000000">
              <w:rPr>
                <w:rtl w:val="0"/>
              </w:rPr>
              <w:t xml:space="preserve">3.</w:t>
            </w:r>
            <w:r w:rsidR="00000000" w:rsidRPr="00000000" w:rsidDel="00000000">
              <w:rPr>
                <w:rtl w:val="0"/>
              </w:rPr>
              <w:t xml:space="preserve"> pielikums</w:t>
            </w:r>
            <w:r w:rsidR="00000000" w:rsidRPr="00000000" w:rsidDel="00000000">
              <w:rPr>
                <w:rtl w:val="0"/>
              </w:rPr>
              <w:t xml:space="preserve">). Šis pienākums attiecas uz visiem, kas iesaistās lēmuma pieņemšanas procesā par komercdarbības atbalsta piešķiršanu darba devējam. Apliecinājumu paraksta pirms pieteikuma izskatīšanas. Apliecinājumu finansējuma saņēmējs glabā atbilstoši Komisijas regulas </w:t>
            </w:r>
            <w:r w:rsidR="00000000" w:rsidRPr="00000000" w:rsidDel="00000000">
              <w:rPr>
                <w:rtl w:val="0"/>
              </w:rPr>
              <w:t xml:space="preserve">20</w:t>
            </w:r>
            <w:r w:rsidR="00000000" w:rsidRPr="00000000" w:rsidDel="00000000">
              <w:rPr>
                <w:rtl w:val="0"/>
              </w:rPr>
              <w:t xml:space="preserve">24/2509 132. pantam;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ne vienmēr ir pieejama iespēja parakstīt dokumentus elektroniski. Nevajadzētu būt pretrunai ar valstī noteiktajiem dokumentu noformēšanas un parakstīšanas principiem un kārtību, tāpēc jānodrošina iespēja parakstīt arī papīra formātā.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Paula Šimkuse (LTRK)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25-TA-15</w:t>
    </w:r>
    <w:r>
      <w:br/>
    </w:r>
    <w:r w:rsidR="00000000" w:rsidRPr="00000000" w:rsidDel="00000000">
      <w:rPr>
        <w:rtl w:val="0"/>
      </w:rPr>
      <w:t xml:space="preserve">Izdrukāts 26.02.2025. 16.42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25-TA-15</w:t>
    </w:r>
    <w:r>
      <w:br/>
    </w:r>
    <w:r w:rsidR="00000000" w:rsidRPr="00000000" w:rsidDel="00000000">
      <w:rPr>
        <w:rtl w:val="0"/>
      </w:rPr>
      <w:t xml:space="preserve">Izdrukāts 26.02.2025. 16.42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Atzinumi_25-TA-15.docx</dc:title>
</cp:coreProperties>
</file>

<file path=docProps/custom.xml><?xml version="1.0" encoding="utf-8"?>
<Properties xmlns="http://schemas.openxmlformats.org/officeDocument/2006/custom-properties" xmlns:vt="http://schemas.openxmlformats.org/officeDocument/2006/docPropsVTypes"/>
</file>