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 Latvijas"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Valdības rīcības plāna 45.6.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Īstenot pasākumus administratīvā sloga mazināšanai  mežsaimniecībā, kā arī iestāties pret Zaļā kursa nesamērīgajām prasībām Eiropas Savienības regulējumā, kuras bremzē Latvijas mežsaimniecības attīstību un samazina uzņēmumu konkurētspēju pasaules tirgos.   </w:t>
            </w:r>
            <w:r w:rsidR="00000000" w:rsidRPr="00000000" w:rsidDel="00000000">
              <w:rPr>
                <w:i w:val="1"/>
                <w:rtl w:val="0"/>
              </w:rPr>
              <w:t xml:space="preserve">2) Veicināt datos balstītas telpiskās stratifikācijas ieviešanu, nosakot meža galvenā apsaimniekošanas mērķa proporcionālo sadalījumu 70 % - 20 % - 10 %.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“Zaļā kursa” prasības nav uzskatāmas par “nesamērīgām”. Gluži otrādi – attiecībā uz bioloģiskās daudzveidības saglabāšanu Latvijai ir daudz stingrāk jāturas pie ES Biodaudzveidības stratēģijā 2030. gadam un citos ES tiesību aktos noteiktajām mežu ekoloģiskās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ko nozīmē proporcionālais sadalījums 70 % - 20 % - 10 %.  Ja šis formulējums paredz saimnieciskās intensitātes palielināšanu 70% mežu, kā norādīts a/s “Latvijas finieris” finansētajā un LU kokrūpniecības interesēs 2025.gadā veiktajā pētījumā, tad šāds dalījums nav pieņemams, ņemot vērā to, ka jau šobrīd notiek nepieļaujama veco mežu izciršana. Palielinot ekonomiski izmantojamo mežu “saimniecisko produktivitāti” mežsaimnieciskā darbība ātri iznīcinās gan neaizsargātos mežus, gan daudzu retu sugu dzīvotnes un Latvijas iedzīvotājiem svarīgus mežus.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pie pasākuma darbības rezultāta norādītajos normatīvajos aktos pieļaujamas tikai stingrākai mežu aizsardzībai.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pasākumu no Valdības rīcības plāna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29.06.2026.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