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1.4.1. specifiskā atbalsta mērķa “Uzlabot digitālo savienojamību” 1.4.1.4. pasākuma "Vienotā kiberdrošības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atbalstāmās darbības un izmaksas paredz attiecināt izmaksas, kādas ir paredzētas arī  Eiropas Savienības Atveseļošanas un noturības mehānisma plāna 2. komponentes "Digitālā transformācija" 2.1. reformu un investīciju virziena "Valsts pārvaldes, tai skaitā pašvaldību, digitālā transformācija" attiecināmajās izmaksās (piemēram, </w:t>
            </w:r>
            <w:r w:rsidR="00000000" w:rsidRPr="00000000" w:rsidDel="00000000">
              <w:rPr>
                <w:i w:val="1"/>
                <w:rtl w:val="0"/>
              </w:rPr>
              <w:t xml:space="preserve">17.2.1. apakšpunktā - datu centru un skaitļošanas infrastruktūras tehniskās infrastruktūras  un tās darbināšanai nepieciešamās ražotāja sērijveida programmatūras iegādes izmaksas</w:t>
            </w:r>
            <w:r w:rsidR="00000000" w:rsidRPr="00000000" w:rsidDel="00000000">
              <w:rPr>
                <w:rtl w:val="0"/>
              </w:rPr>
              <w:t xml:space="preserve">) lūdzam paredzēt nosacījumus, kas nodrošina dubultā finansējuma risku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23-TA-1064</w:t>
    </w:r>
    <w:r>
      <w:br/>
    </w:r>
    <w:r w:rsidR="00000000" w:rsidRPr="00000000" w:rsidDel="00000000">
      <w:rPr>
        <w:rtl w:val="0"/>
      </w:rPr>
      <w:t xml:space="preserve">Izdrukāts 24.01.2024.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23-TA-1064</w:t>
    </w:r>
    <w:r>
      <w:br/>
    </w:r>
    <w:r w:rsidR="00000000" w:rsidRPr="00000000" w:rsidDel="00000000">
      <w:rPr>
        <w:rtl w:val="0"/>
      </w:rPr>
      <w:t xml:space="preserve">Izdrukāts 24.01.2024.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Atzinumi_23-TA-1064.docx</dc:title>
</cp:coreProperties>
</file>

<file path=docProps/custom.xml><?xml version="1.0" encoding="utf-8"?>
<Properties xmlns="http://schemas.openxmlformats.org/officeDocument/2006/custom-properties" xmlns:vt="http://schemas.openxmlformats.org/officeDocument/2006/docPropsVTypes"/>
</file>