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Kolektīvās finansēšanas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šā likuma 17. un 18. pantā saistībā ar patērētāju tiesības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Iesniegumus un sūdzības par šā likuma un citu patērētāju tiesību aizsardzības normatīvo aktu pārkāpumiem, ja tie saistīti ar kolektīvās finansēšanas 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w:t>
            </w:r>
            <w:r w:rsidR="00000000" w:rsidRPr="00000000" w:rsidDel="00000000">
              <w:rPr>
                <w:b w:val="1"/>
                <w:rtl w:val="0"/>
              </w:rPr>
              <w:t xml:space="preserve">19. pants.  Ziņošana Latvijas Bankai par iespējamiem un faktiskiem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iespējamiem un faktiskiem šā likuma, uz šā likuma pamata izdoto Latvijas Bankas noteikumu un Regulas Nr. 2020/1503 pārkāpumiem ikviena persona var ziņot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izveido un uztur efektīvu un uzticamu ziņošanas sistēmu, kas ietver vismaz šādus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tiek saņemti ziņojumi par pārkāpumiem un kādā veicama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normatīvajiem aktiem par fizisko personu datu aizsardzību — tādas personas datu aizsardzību, kura ziņo par pārkāpumu, kā arī tādas fiziskās personas datu aizsardzību, kura tiek turēta aizdomās par pārkāpuma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noteikumus par tās personas konfidencialitātes nodrošināšanu, kura ziņo par pārkāpumu, izņemot gadījumu, kad šādu ziņu izpaušanu paredz Latvijas Republikas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nosaka prasības un kārtību ziņošanai par iespējamiem un faktiskiem šā likuma, uz šā likuma pamata izdoto Latvijas Bankas noteikumu un Regulas Nr. 2020/1503 pārkāpumiem un saņemto ziņojumu apstrādes kārtību.".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šī ziņošanas mehānismu izveides prasība, kas izriet no ES regulējuma, ir horizontāla, tāpēc tās regulējums būtu jāiekļauj Latvijas Bankas likumā, nevis katrā attiecīgajā normatīvajā aktā, par kura pārkāpumu iespējams ziņot LB. Lūdzam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16.04.2026.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16.04.2026.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Atzinumi_26-TA-752.docx</dc:title>
</cp:coreProperties>
</file>

<file path=docProps/custom.xml><?xml version="1.0" encoding="utf-8"?>
<Properties xmlns="http://schemas.openxmlformats.org/officeDocument/2006/custom-properties" xmlns:vt="http://schemas.openxmlformats.org/officeDocument/2006/docPropsVTypes"/>
</file>