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Patvertnes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iedala: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kategorija - patvertnes, kas nodrošina aizsardzību no masu iznīcināšanas līdzekļiem, toksisko ķīmisko vielu iedarbības,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II kategorija - patvertnes, kas nodrošina aizsardzību no sprādziena triecienviļņa, šķembām,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kategorija - patvertnes, kas izveidotas, pielāgojot esošas būves vai to daļas, un mazina ietekmi no sprādziena triecienviļņa, šķembām, radiācijas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 kategorijas patvertni izbūvē, veicot A un B kategorijas kritiskās infrastruktūras objektu, kur ikdienā paredzēts pastāvīgi uzturēties personālam,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Patvertni, kurai ir ne zemāka kā II kategorija, izbūvē, veicot šādu objektu jaunu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grupas daudzdzīvokļu dzīvojamās mājas virs trīs stāviem;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grupas publiskās ēkas ar kopējo platību no 1000 kvadrātmetriem, izņemot inženierbūves, sezonas, īslaicīgas lietošanas ēkas, lauksaimniecības ēkas, katlumājas, elektroenerģijas apgādes ēkas, transformatoru apakšstaciju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rūpnieciskās ražošanas vai noliktavas ēkas ar kopējo platību no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īpašnieks, uz kuru neattiecas šā panta otrā un trešā daļa, ir tiesīgs ierīkot III kategorijas patvertni atbilstoši telpu pielāgošanas prasībām, vai augstākas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Patvertnes īpašnieks nodrošina patvertnes uzturēšanu, lai katastrofas, tās draudu, militāra iebrukuma vai kara gadījumā patvertni varētu izmantot cilvēki.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plāno patvertņu izvietojumu, lai tiktu nodrošināts to pietiekams skaits atbilstoši iedzīvotāju blīvumam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tiesīgas piedalīties patvertņu, tai skaitā privātās ēkās un telpās, izbūvē vai ierīkošanā un nodrošināšanā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Būvvalde, konsultējoties ar pašvaldību, var lemt par atbrīvojumu no šajā likumā noteiktā pienākuma izbūvēt patvertni,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patvertnes izbūve rada ievērojami augstākas būvniecības izmaksas nekā parasti ar attiecīgās ēkas būvniecību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attiecīgajā teritorijā jau ir pietiekams patvertņu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Būvvalde var lemt par atļauju būvēt kopīgu patvertni divām vai vairākām ēkām, ja patvertnes izvietojums nodrošina tās ātru sasniedzamību attiecīgajās ēkās esošajiem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Veicot būves ar patvertni atjaunošanu vai pārbūvi, tai skaitā lietošanas veida maiņu, patvertne ir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aizsardzību no "radioaktīvā piesārņojuma" paredz jebkurā no patvertnes veidiem (I, II un III kategorijā). Ņemot vērā ļoti būtisku minimālo tehnisko prasību "komplektu", lai objekts būtu uzskatāms kā ar aizsardzību no "radioaktīvā piesārņojuma", nav pieļaujams šādu prasību iekļaut visās trīs kategorijās. Šādu prasību izpildes nodrošināšana pēc būtības nozīmē, ka visas patvertnes  kategorijas nodrošina gandrīz vienāda veida aizsardzību, bet dalījums pa grupām nesasniedz mērķi tās dalīt atkarībā no aizsardzības līmeņa. Minēto iemeslu dēļ, aizsardzība no "radioaktīvā piesārņojuma", ir paredzama tikai I kategorijas patvertnē. Arī no informatīvā ziņojuma projekta </w:t>
            </w:r>
            <w:r w:rsidR="00000000" w:rsidRPr="00000000" w:rsidDel="00000000">
              <w:rPr>
                <w:i w:val="1"/>
                <w:rtl w:val="0"/>
              </w:rPr>
              <w:t xml:space="preserve">”Iespējamie risinājumi motivējošiem finanšu mehānismiem patvertnes vai vietas, kur var patverties, atjaunošanai vai izveidošanai” </w:t>
            </w:r>
            <w:r w:rsidR="00000000" w:rsidRPr="00000000" w:rsidDel="00000000">
              <w:rPr>
                <w:rtl w:val="0"/>
              </w:rPr>
              <w:t xml:space="preserve">(24-TA-1044) un provizoriskajiem finanšu aprēķiniem izriet, ka uz II un III kategorijas patvertnēm nav attiecināma aizsardzība no radioaktīvā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nevis III, bet II kategorijas patvertni otrās grupas daudzdzīvokļu dzīvojamās mājas virs trīs stāviem. Attiecīgo prasību izpildei ir jāparedz skaidra valsts atbalsta programma, kas kompensēs dzīvojamo ēku būvniecības sadārdzinājumu. Nav pieļaujama papildus prasību izvirzīšana ēku jaunai būvniecībai, ja šo prasību izpildei nav skaidrs un funkcionējošs prasību izpildes kompensējošs finanšu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ēku būvniecības gadījumu īpatsvars salīdzinājumā ar esošo ēku īpatsvaru un to pārbūves gadījumiem ir niecīgs, līdz ar to, lai sasniegtu mērķi "</w:t>
            </w:r>
            <w:r w:rsidR="00000000" w:rsidRPr="00000000" w:rsidDel="00000000">
              <w:rPr>
                <w:i w:val="1"/>
                <w:rtl w:val="0"/>
              </w:rPr>
              <w:t xml:space="preserve">ieviest iedzīvotāju aizsardzības veidu – patveršanās patvertnēs</w:t>
            </w:r>
            <w:r w:rsidR="00000000" w:rsidRPr="00000000" w:rsidDel="00000000">
              <w:rPr>
                <w:rtl w:val="0"/>
              </w:rPr>
              <w:t xml:space="preserve">", ir jāparedz skaidri nosacījumi prasībai būvēt vai atjaunot patvertni arī pārbūves gadījumā vai bez tās. Izvirzot prasības tikai jaunu būvju būvniecības gadījumiem, mērķa sasniegšana nav vērtējama kā reāla jebkādā prognozējamā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jānorāda, ka nav saprotams kādēļ noliktavas ēkas (ar kopējo platību no 1500 m</w:t>
            </w:r>
            <w:r w:rsidR="00000000" w:rsidRPr="00000000" w:rsidDel="00000000">
              <w:rPr>
                <w:vertAlign w:val="superscript"/>
                <w:rtl w:val="0"/>
              </w:rPr>
              <w:t xml:space="preserve">2</w:t>
            </w:r>
            <w:r w:rsidR="00000000" w:rsidRPr="00000000" w:rsidDel="00000000">
              <w:rPr>
                <w:rtl w:val="0"/>
              </w:rPr>
              <w:t xml:space="preserve">) būtu pieļaujama tikai tad, ja tiek būvēta II kategorijas patvertne. Šāda prasība pati par sevi ir radīta ar mērķi radīt patvērumu cilvēkiem, taču noliktavas būves nav viennozīmīgi saistāma ar lielu cilvēku skaitu ēkā vai pie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tikai tāda ēka, kas vienlaicīgi ir "publiskā ēka" un tās platība ir 1000 m</w:t>
            </w:r>
            <w:r w:rsidR="00000000" w:rsidRPr="00000000" w:rsidDel="00000000">
              <w:rPr>
                <w:vertAlign w:val="superscript"/>
                <w:rtl w:val="0"/>
              </w:rPr>
              <w:t xml:space="preserve">2</w:t>
            </w:r>
            <w:r w:rsidR="00000000" w:rsidRPr="00000000" w:rsidDel="00000000">
              <w:rPr>
                <w:rtl w:val="0"/>
              </w:rPr>
              <w:t xml:space="preserve">, ir klasificējama kā trešās būvniecības grupas ēka saskaņā ar Ministru kabineta 2014.gada 19.augusta noteikumu Nr.500 "Vispārīgie būvnoteikumi" 1.pielikuma 2.2.3.apakšpunktu. Tātad, nosakot, ka tā ir trešās būvniecības grupas publiskā ēka, jau ir skaidrs apjoma kritērijs, pretējā gadījumā tā nebūtu klasificējama kā trešās grupas ēka. Minētā iemesla dēļ ir lieki, dublējoši un pat maldinoši noteikt projektā šāda veida ēku apjoma kritēriju (1000 m</w:t>
            </w:r>
            <w:r w:rsidR="00000000" w:rsidRPr="00000000" w:rsidDel="00000000">
              <w:rPr>
                <w:vertAlign w:val="superscript"/>
                <w:rtl w:val="0"/>
              </w:rPr>
              <w:t xml:space="preserve">2</w:t>
            </w:r>
            <w:r w:rsidR="00000000" w:rsidRPr="00000000" w:rsidDel="00000000">
              <w:rPr>
                <w:rtl w:val="0"/>
              </w:rPr>
              <w:t xml:space="preserve">), kas 1:1 sakrīt ar būvniecības jomā jau izvirzīto kritēriju.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nosaka, ka visas būves iedalās ēkās un inženierbūvēs, tātad, nosakot, ka objekts ir ēka, ir jau izslēgta varbūtība, ka tā varētu būt inženierbūve. Minēto iemeslu dēļ nav korekta vārdu kopa "[..] ēkas [..], izņemot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w:t>
            </w:r>
            <w:r w:rsidR="00000000" w:rsidRPr="00000000" w:rsidDel="00000000">
              <w:rPr>
                <w:i w:val="1"/>
                <w:rtl w:val="0"/>
              </w:rPr>
              <w:t xml:space="preserve">, ka objekts ir "trešās grupas </w:t>
            </w:r>
            <w:r w:rsidR="00000000" w:rsidRPr="00000000" w:rsidDel="00000000">
              <w:rPr>
                <w:i w:val="1"/>
                <w:u w:val="single"/>
                <w:rtl w:val="0"/>
              </w:rPr>
              <w:t xml:space="preserve">publiskās </w:t>
            </w:r>
            <w:r w:rsidR="00000000" w:rsidRPr="00000000" w:rsidDel="00000000">
              <w:rPr>
                <w:i w:val="1"/>
                <w:rtl w:val="0"/>
              </w:rPr>
              <w:t xml:space="preserve">ēkas" </w:t>
            </w:r>
            <w:r w:rsidR="00000000" w:rsidRPr="00000000" w:rsidDel="00000000">
              <w:rPr>
                <w:rtl w:val="0"/>
              </w:rPr>
              <w:t xml:space="preserve">automātiski no tvēruma izslēdz </w:t>
            </w:r>
            <w:r w:rsidR="00000000" w:rsidRPr="00000000" w:rsidDel="00000000">
              <w:rPr>
                <w:i w:val="1"/>
                <w:rtl w:val="0"/>
              </w:rPr>
              <w:t xml:space="preserve">"lauksaimniecības ēkas, katlumājas, elektroenerģijas apgādes ēkas, transformatoru apakšstaciju ēkas". </w:t>
            </w:r>
            <w:r w:rsidR="00000000" w:rsidRPr="00000000" w:rsidDel="00000000">
              <w:rPr>
                <w:rtl w:val="0"/>
              </w:rPr>
              <w:t xml:space="preserve">Līdz ar to attiecīgie vārdi ir ne tikai lieki, bet ir arī maldinoši, jo no redakcijas maldīgi noprotams, ka attiecīgie objekti varētu būt klasificējami kā </w:t>
            </w:r>
            <w:r w:rsidR="00000000" w:rsidRPr="00000000" w:rsidDel="00000000">
              <w:rPr>
                <w:i w:val="1"/>
                <w:rtl w:val="0"/>
              </w:rPr>
              <w:t xml:space="preserve">"publiska ēka"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būvvaldes primāra kompetence ir nodrošināt būvniecības administratīvā procesa tiesiskumu. Tās kompetencē neietilpst un nevar būt jautājumi, kas ir saistīti ar civilās aizsardzības jautājumu risināšanu. Skatoties no šāda aspekta, būvvaldes kompetencē nevar būt jautājumi par patvertņu nepieciešamību. Šie jautājumi ir piekritīgi civilās aizsardzības komisijai. Var arī šajā jautājumā darīt līdzīgi kā Somija – uzticot šo jautājumu  glābšanas dienestam, kas Latvijas gadījumā būtu Valsts ugunsdzēsības un glābšanas dienests. Ja būvvaldes kompetence tiek paplašināta, tad attiecīgajam risinājumam ir jābūt tikai kopā ar risinājumu būvvaldes kapacitāte pieaugumam, tai skaitā attiecībās uz papildus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projektēšana var ilgt vat vairākus gadus. Lai neizveidotos situācija, kurā projekts, kurš tuvākajā laikā būtu gatavs iesniegšanai akceptēšanai, pēkšņi būtu jāpārstrādā atbilstoši jaunajām prasībām, ir nepieciešams saprātīgs pārejas periods. Ekonomikas ministrijas ieskatā pie tik būtiskām prasību izmaiņām pārejas periodam ir jābūt vismaz 2 gadiem, lai ari būvniecības ierosinātājai var laikus pārplānot nepieciešamās finanses attiecīgo objektu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otro un trešo daļu var neattiecināt uz būvprojektiem, kas līdz 2026.gada 1.jūnijam* noteiktā kārtībā saskaņoti (akceptēti) vai iesniegti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[*datums maināms atkarībā no prognozēm likumprojekta virzības gaitā un paredzot vismaz 6 mēnešu laiku projekta pārstrādāšanai līdz tā iesniegšanai akceptēšanai]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09.07.2024.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09.07.2024.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