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25. aprīļa noteikumos Nr. 203 "Ražotāju organizāciju atzīšanas un atbalsta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precizēt projekta anotācijas 5. sadaļu (sadaļas aizpildīšanā aicinām ievērot "Vadlīnijas tiesību akta projekta sākotnējās ietekmes novērtēšanai un novērtējuma ziņojuma sagatavošanai Vienotajā tiesību aktu izstrādes un saskaņošanas portālā").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pilnībā skaidrots, kā ir izmantotas visas Eiropas Savienības tiesību aktos paredzētās rīcības brīvība, piemēram, arī regulas 2022/126 23. panta 3. punktā paredzēts, ka "Dalībvalstis [..], var paredzēt vienotu standartlikmi personāla un administratīvajām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projekta redakcijai un tajā ietvertajām atsaucēm uz Eiropas Savienības tiesību aktiem gan projektā, gan tā pielikumos ieviestas arī citas, anotācijas 5.sadaļā neskaidrotas tiesību normas un tiesību akti, piemēram, regulas 2022/126 21. panta 1. punkts projekta 34. punkts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izziņā skaidrotajam par to, ka "</w:t>
            </w:r>
            <w:r w:rsidR="00000000" w:rsidRPr="00000000" w:rsidDel="00000000">
              <w:rPr>
                <w:i w:val="1"/>
                <w:rtl w:val="0"/>
              </w:rPr>
              <w:t xml:space="preserve">Savukārt 67.¹ punkts papildina 65. punktā noteikto personāla izmaksu segšanas kārtību, to sasaistot ar Eiropas Parlamenta un Padomes Regulas (ES) 2021/2115 44. panta pirmajā punktā minētajiem atbalsta veidiem</w:t>
            </w:r>
            <w:r w:rsidR="00000000" w:rsidRPr="00000000" w:rsidDel="00000000">
              <w:rPr>
                <w:rtl w:val="0"/>
              </w:rPr>
              <w:t xml:space="preserve">", nodrošinot atbilstību Eiropas Savienības tiesiskajam regulējumam, saprotams, ka projekta 28. punkts nodrošina regulas 2021/2115 prasību ieviesanu, kas nav atspoguļots anotācijas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projektā veiktajiem precizējumiem, mainījusies tā vienību numerācija, kas nav aktualizēta anotācijas 5.4. apakšsadaļas 1. tabulā, bet, pamatojoties uz precizēto projekta 37.punktu (iepriekš 35.punkts) "2022/126 11. panta 4. punkts" ieviešana vairs nav aktuāla.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atbalsta pretendenta dalībniekiem un to saistītajām personām, kuras reģistrētas valstī vai teritorijā, kas minēta normatīvajos aktos par zemu nodokļu vai beznodokļu valstīm vai teritorijām, pieder vairāk nekā 25 procenti kapitāldaļu;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4.1.1.apakšpunktā, ņemot vērā Ministru kabineta 2023. gada 27. jūnija noteikumus Nr. 333 "Zemu nodokļu vai beznodokļu valstu un teritoriju saraksts", atsauce uz normatīvo aktu nav aktualizējama šādā redakcijā: "normatīvajos aktos par zemu nodokļu vai beznodokļu valstīm</w:t>
            </w:r>
            <w:r w:rsidR="00000000" w:rsidRPr="00000000" w:rsidDel="00000000">
              <w:rPr>
                <w:u w:val="single"/>
                <w:rtl w:val="0"/>
              </w:rPr>
              <w:t xml:space="preserve"> un</w:t>
            </w:r>
            <w:r w:rsidR="00000000" w:rsidRPr="00000000" w:rsidDel="00000000">
              <w:rPr>
                <w:rtl w:val="0"/>
              </w:rPr>
              <w:t xml:space="preserve"> teritorijām", nodrošinot precīzu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65.</w:t>
            </w:r>
            <w:r w:rsidR="00000000" w:rsidRPr="00000000" w:rsidDel="00000000">
              <w:rPr>
                <w:rtl w:val="0"/>
              </w:rPr>
              <w:t xml:space="preserve"> punktā minētās personāla izmaksas sedz saskaņā ar Zemkopības ministrijas apstiprināto metodiku "Vienas vienības izmaksas – stundas likmes atalgojums sadarbības partneriem", piemērojot attiecīgajai amata grupai noteikto vienības izmaksu likmi. Ja amata grupa nav minētajā metodikā iekļauta, izmaksas tiek segtas atbilstoši to faktiskajam apmēram, pamatojoties uz izdevumus apliecinošiem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arī Zemkopības ministrijas izstrādātās metodikas ir iekšēji normatīvie akti, kas ir saistoši iestādei (tās struktūrvienībai, darbiniekiem) vai amatpersonām, attiecībā uz kurām tas izdots (sk. Valsts pārvaldes iekārtas likuma 72. panta ceturto daļu). Attiecīgi metodikas u.tml. dokumenti nav saistoši privātpersonām - atbalsta pretendentiem un saņēmējiem, un tās par saistošām nevar padarīt arī ar atsauci projektā. Nepieciešamības gadījumā vadlīniju saturs jāpārņem projektā vai jāietver ar minētajām privātpersonām saskaņā ar Noteikumiem noslēgtā līgumā (ja attiecināms). Gadījumā, ja ir nepieciešamas un pamatojamas šādas atsauces, lūdzam sniegt anotācijā attiecīgu skaidrojumu, ievērojot iepriekš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Ja, izvērtējot atzītas augļu un dārzeņu ražotāju organizācijas iesniegtos dokumentus, dienests konstatē, ka tajos nav norādīta visa nepieciešamā informācija vai arī tā nav skaidra vai norādīta nepilnīgi, dienests to var rakstiski pieprasīt atzītai augļu un dārzeņu ražotāju organizācijai. Atzīta augļu un dārzeņu ražotāju organizācija septiņu dienu laikā no pieprasījuma dienas iesniedz dienestā pieprasīto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59. punktu (Noteikumu 177. punkts), ņemot vērā, ka no tā skaidrojumiem saprotams, ka informācijas pieprasījums </w:t>
            </w:r>
            <w:r w:rsidR="00000000" w:rsidRPr="00000000" w:rsidDel="00000000">
              <w:rPr>
                <w:u w:val="single"/>
                <w:rtl w:val="0"/>
              </w:rPr>
              <w:t xml:space="preserve">var notikt arī mutiski</w:t>
            </w:r>
            <w:r w:rsidR="00000000" w:rsidRPr="00000000" w:rsidDel="00000000">
              <w:rPr>
                <w:rtl w:val="0"/>
              </w:rPr>
              <w:t xml:space="preserve">, lai arī, atbilstoši projekta redakcijai noteikts, ka "[..]</w:t>
            </w:r>
            <w:r w:rsidR="00000000" w:rsidRPr="00000000" w:rsidDel="00000000">
              <w:rPr>
                <w:i w:val="1"/>
                <w:rtl w:val="0"/>
              </w:rPr>
              <w:t xml:space="preserve"> dienests to </w:t>
            </w:r>
            <w:r w:rsidR="00000000" w:rsidRPr="00000000" w:rsidDel="00000000">
              <w:rPr>
                <w:i w:val="1"/>
                <w:u w:val="single"/>
                <w:rtl w:val="0"/>
              </w:rPr>
              <w:t xml:space="preserve">var rakstiski pieprasīt </w:t>
            </w:r>
            <w:r w:rsidR="00000000" w:rsidRPr="00000000" w:rsidDel="00000000">
              <w:rPr>
                <w:i w:val="1"/>
                <w:rtl w:val="0"/>
              </w:rPr>
              <w:t xml:space="preserve">atzītai augļu un dārzeņu ražotāju organizācijai</w:t>
            </w:r>
            <w:r w:rsidR="00000000" w:rsidRPr="00000000" w:rsidDel="00000000">
              <w:rPr>
                <w:rtl w:val="0"/>
              </w:rPr>
              <w:t xml:space="preserve">". Tāpat, iesakām skaidrojumos norādīt arī to, kā saprotama "pieprasījuma diena" - proti, sagatavošanas diena, saņemšanas diena vai kāds cits atskaites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25-TA-1162</w:t>
    </w:r>
    <w:r>
      <w:br/>
    </w:r>
    <w:r w:rsidR="00000000" w:rsidRPr="00000000" w:rsidDel="00000000">
      <w:rPr>
        <w:rtl w:val="0"/>
      </w:rPr>
      <w:t xml:space="preserve">Izdrukāts 23.10.2025.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25-TA-1162</w:t>
    </w:r>
    <w:r>
      <w:br/>
    </w:r>
    <w:r w:rsidR="00000000" w:rsidRPr="00000000" w:rsidDel="00000000">
      <w:rPr>
        <w:rtl w:val="0"/>
      </w:rPr>
      <w:t xml:space="preserve">Izdrukāts 23.10.2025.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Atzinumi_25-TA-1162.docx</dc:title>
</cp:coreProperties>
</file>

<file path=docProps/custom.xml><?xml version="1.0" encoding="utf-8"?>
<Properties xmlns="http://schemas.openxmlformats.org/officeDocument/2006/custom-properties" xmlns:vt="http://schemas.openxmlformats.org/officeDocument/2006/docPropsVTypes"/>
</file>