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“74.Gadskārtējā valsts budžeta izpildes procesā pārdalāmais finansējums” programmas 18.00.00 “Finansējums valsts drošības stiprināšanas pasākumiem” uz Ārlietu ministrijas, Finanšu ministrijas un Satiksmes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</w:t>
    </w:r>
    <w:r>
      <w:br/>
    </w:r>
    <w:r w:rsidR="00000000" w:rsidRPr="00000000" w:rsidDel="00000000">
      <w:rPr>
        <w:rtl w:val="0"/>
      </w:rPr>
      <w:t xml:space="preserve">Izdrukāts 19.03.2024. 10.55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24-TA-166</w:t>
    </w:r>
    <w:r>
      <w:br/>
    </w:r>
    <w:r w:rsidR="00000000" w:rsidRPr="00000000" w:rsidDel="00000000">
      <w:rPr>
        <w:rtl w:val="0"/>
      </w:rPr>
      <w:t xml:space="preserve">Izdrukāts 19.03.2024. 10.55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