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"EOLUS"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atļaujām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Eolus vēlētos uzsvērt, ka nekādā gadījumā nav pieļaujams samazināt Projekta 14. punktā minēto sākotnējā atļaujā noteiktās maksimālās ieviešanas jaudas proporciju, t.i., tā nedrīkst būt zemāka par 80%. Līdzīgi arī nebūtu pieļaujama Projekta 23. punkta mīkstināšana.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“Ar noteikumu projektā ietverto regulējumu tiek veicināta komersantu apzinīga rīcība īstenot elektroenerģijas ražošanas iekārtu reālu ieviešanu.” Samazinot minēto proporciju, kā arī ļaujot palielināt jaudas gadījumos, kad vēl nav ieviestas iepriekšējā atļaujā minētās jaudas, tiks sniegtas nepamatotas priekšrocības tiem līdzšinējiem atļauju saņēmējiem, kuriem nav bijis nodoms ieviest atļaujā pieteiktās jaunās ražošanas jaudas. Kā arī, pieļaujot izmaiņas sākotnēja atļaujā noteiktajā elektroenerģijas ražošanas veidā, tiks kropļota elektroenerģijas sistēmvadība pārvades sistēmā plānojot un paļaujoties uz pieteiktajām elektroenerģijas plusmām no attiecīgā enerģijas resursa, un tiks sniegta maldinoša informācija enerģētikas politikas veidotājiem.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Āboliņa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18.10.2023.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