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līdz 2029. gada 31. decembrim ir sasniedzams šāds uzraudzības rādītājs – programmas iznākuma rādītājs – speciālistu, kuri piedalījušies mācībās bērnu tiesību aizsardzības jomā, skaits – 5 988.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norādot rādītāja starpposma sasniedzamo vērtību līdz 2024.gada 31.decembrim.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Teivāne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informāciju, MK noteikumu projekta 16.1. līdz 16.5. apakšpunktā minētajām atbalstāmajām darbībām paredzēti indikatīvi 1 626 062 EUR jeb 47% no 4.3.6.1. pasākumam pieejamā finansējuma. Lūdzam skaidrot, kādām darbībām paredzēts izmantot pārējos 53%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personāla atlīdzības izmaksas saskaņā ar Valsts un pašvaldību institūciju amatpersonu un darbinieku atlīdzības likumu, izņemot virsstundas. Ja personāla iesaiste projektā ir nodrošināta saskaņā ar daļlaika attiecināmības principu, attiecināma ir ne mazāka kā 30 procentu noslodze,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saskaņošanas laikā minēto, ka LM kā ES fondu atbildīgā iestāde 4.3.6.1. pasākumam vērtēs iespēju izstrādāt savu vienības izmaksu standarta likmes aprēķina un piemērošanas metodiku atlīdzībai, t.sk. veselības apdrošināšanai, lūdzam paredzēt vienkāršoto izmaksu piemērošanu personāla atlīdzības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18.3.1. iepirkuma līgumu izmaksas šo noteikumu 16.1., 16.2., 16.3., 16.4., 16.5. un 16.6. apakšpunktā minēto atbalstāmo darbību īstenošanai, kā arī 16.7. apakšpunktā minētas atbalstāmas darbības īstenošanai, ja finansējuma saņēmējs projekta vadības un īstenošanas personālu un sadarbības partneris projekta īstenošanas personālu piesaista uz iepirkumu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atšifrēt, kādas iepirkuma līguma izmaksas ir paredzētas 16.7.apakšpunktā minēto atbalstāmo darbību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darba vietas aprīkojuma iegādei vai nomai, tai skaitā aprīkojuma uzturēšanai un remontam, finansējuma saņēmēja projekta vadības un īstenošanas personālam un sadarbības partnera projekta īstenošanas personālam jaunu darba vietu radīšanai vai esošo darba vietu atjaunošanai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vārdus "vai esošo darba vietu atjaunošanai" uz "vai gadījumā, ja esošo darba vietu aprīkojums ir nolietojies un tiek norakstīts".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darba vietas aprīkojuma iegādei vai nomai, tai skaitā aprīkojuma uzturēšanai un remontam, finansējuma saņēmēja projekta vadības un īstenošanas personālam un sadarbības partnera projekta īstenošanas personālam jaunu darba vietu radīšanai vai esošo darba vietu atjaunošanai var paredzēt ne vairāk kā 3 000 </w:t>
            </w:r>
            <w:r w:rsidR="00000000" w:rsidRPr="00000000" w:rsidDel="00000000">
              <w:rPr>
                <w:i w:val="1"/>
                <w:rtl w:val="0"/>
              </w:rPr>
              <w:t xml:space="preserve">euro</w:t>
            </w:r>
            <w:r w:rsidR="00000000" w:rsidRPr="00000000" w:rsidDel="00000000">
              <w:rPr>
                <w:rtl w:val="0"/>
              </w:rPr>
              <w:t xml:space="preserve"> apmērā vienai darba vietai visā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19.5. apakšpunkta redakciju, ņemot vērā, ka nosacījums par darbinieka iesaistes periodu projektā attiecas tikai uz daļlaiku. Šobrīd MK noteikumu projektā ir iekļauta stingrāka prasība, nekā to paredz Vadošās iestādes Vadlīnijas attiecināmo izmaksu noteikšanai (Nr. 1.2.). Saskaņā ar vadlīniju 9.5.punktu darba vietas aprīkojuma izmaksas ir attiecināmas atbilstoši slodzes apmēram – darbiniekiem, kuri strādā normālo darba laiku, aprīkojuma izmaksas ir attiecināmas 100% apmērā, bet nepilna darba laika gadījumā – ņemot vērā attiecīgā darba laika proporciju. Savukārt, saskaņā ar vadlīniju 33.punktu daļlaika gadījumā jāņem vērā darbinieka iesaistes periods projektā pret projekta kopējo īstenošanas ilgumu un daļlaika proporcija darbam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17.2. apakšpunktā minētās netiešās attiecināmās izmaksas finansējuma saņēmējs plāno kā vienu izmaksu pozīciju septiņu procentu apmērā no projekta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pamatot veiktās izmaiņas, jo saskaņā ar apstiprināto informatīvo ziņojumu, paredzēta bija netiešo izmaksu likme 15 % apmērā no personāla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Pasākuma atbalstāmo darbību ietvaros ir attiecināms pievienotās vērtības nodoklis šo noteikumu 17.1. apakšpunktā minētajām tiešajām attiecināmajām izmaksām atbilstoši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1.punkta “c” apakšpunkta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papildināt ar skaidrojumu, norādot, ka tiks nodrošināts dubultā finansējuma novēršanas risks attiecībā uz PVN līdzekļu attiecināšanu/atgūšanu.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šo noteikumu 16.1. apakšpunktā minēto atbalstāmo darbību īstenošanu pārvalda Labklājības ministrijas izveidota Bērnu lietu sadarbības padome (turpmāk – padome). Padomes sastāvā ir finansējuma saņēmēja, Labklājības ministrijas, citu nozaru ministriju, Latvijas Pašvaldību savienības un citu biedrību un nodibinājumu pārstāvji. Atbildīgās iestādes un vadošās iestādes pārstāvji padomes darbībā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uz kāda tiesiska pamata tiek nodota atbalstāmo darbību īstenošana Labklājības ministrijas izveidotai padomei. Papildus lūdzu skaidrot, kas ir saprotams ar vārdu "pārvalda". Vēršam uzmanību, ka saskaņā ar Eiropas Savienības fondu 2021.-2027.gada plānošanas perioda vadības likumu un uz tā pamata izdotiem horizontāliem noteikumiem, šāda funkciju nodošana nav paredzēta. Projekta īstenošanu nodrošina finansējuma saņēmējs, kurš drīkst projekta īstenošanā piesaistīt sadarbības partneri.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mazāka par 750 000 </w:t>
            </w:r>
            <w:r w:rsidR="00000000" w:rsidRPr="00000000" w:rsidDel="00000000">
              <w:rPr>
                <w:i w:val="1"/>
                <w:rtl w:val="0"/>
              </w:rPr>
              <w:t xml:space="preserve">euro</w:t>
            </w:r>
            <w:r w:rsidR="00000000" w:rsidRPr="00000000" w:rsidDel="00000000">
              <w:rPr>
                <w:rtl w:val="0"/>
              </w:rPr>
              <w:t xml:space="preserve">, finansējuma saņēmējs šo noteikumu 18.2. apakšpunktā minētās izmaksas kompensē pašvaldībai, ja tā, veicot tirgus izpēti saskaņā ar normatīvajiem aktiem par publiskajiem iepirkumiem, īstenojot konkurenci nodrošinošu, pārredzamu, atklātu, nediskriminējošu un, kur tas ir attiecināms un atbilstošs projekta darbības specifikai, sociāli atbildīga konkursa procedūru, kas atbilst publiskā iepirkuma principiem, ir izvēlējusies supervīzijas pakalpojuma sniedzēju, kas ir sertificēts un iekļauts sertificētu supervīzijas pakalpojuma sniedzēju reģistrā, kas publicēts tās organizācijas tīmekļa vietnē, kura pārstāv Latviju Eiropas nacionālo supervizoru organizāciju asociācijā ANSE (Association of National Organisations for Supervision in Europe);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MK noteikumu projekta 27.1. apakšpunktā noteikto prasību par supervīzijas pakalpojuma sniedzēja sertificēšanos ANSE, ņemot vērā, ka šī prasība var tikt uzskatīta par nesamērīgu un konkurenci ierobežojošu.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atsauci anotācijā uz izvērtējumu “Vienkāršoto izmaksu piemērošanas iespējas 2021.-2027. gada ES fondu plānošanas periodā”, vēršam uzmanību, ka tas satur izvērtētāju kā ekspertu viedokli, bet nav pietiekams pamatojums vienkāršoto izmaksu nepiemērošanai, tāpēc lūdzam LM kā atbildīgo iestādi izvērtēt vienkāršoto izmaksu piemērošanas iespējas pasākumā un nepiemērošanas gadījumā to argumentēti pamatot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apakšsadaļas "Risinājuma apraksts" 1. punkta a) sadaļā dzēst atsauci uz Bērnu tiesību aizsarzdzības likuma 5.</w:t>
            </w:r>
            <w:r w:rsidR="00000000" w:rsidRPr="00000000" w:rsidDel="00000000">
              <w:rPr>
                <w:vertAlign w:val="superscript"/>
                <w:rtl w:val="0"/>
              </w:rPr>
              <w:t xml:space="preserve">1 </w:t>
            </w:r>
            <w:r w:rsidR="00000000" w:rsidRPr="00000000" w:rsidDel="00000000">
              <w:rPr>
                <w:rtl w:val="0"/>
              </w:rPr>
              <w:t xml:space="preserve">panta pirmās daļas </w:t>
            </w:r>
            <w:r w:rsidR="00000000" w:rsidRPr="00000000" w:rsidDel="00000000">
              <w:rPr>
                <w:u w:val="single"/>
                <w:rtl w:val="0"/>
              </w:rPr>
              <w:t xml:space="preserve">20.apakšpunktu</w:t>
            </w:r>
            <w:r w:rsidR="00000000" w:rsidRPr="00000000" w:rsidDel="00000000">
              <w:rPr>
                <w:rtl w:val="0"/>
              </w:rPr>
              <w:t xml:space="preserve">, ņemot vērā, ka tajā minētie speciālisti atbilstoši MK noteikumu projekta 3.punktā minētajam, nav pasākuma mērķa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1.6.apakšsadaļas punktā “Ilgtspēja” norādīts, ka finansējuma saņēmējs nodrošinās 4.3.6.1.pasākuma projekta ilgtspēju, izmantojot valsts budžeta finansējumu atbilstoši MK 2023.gada 17.janvāra noteikumu Nr. 15 “Maksimāli pieļaujamā valsts budžeta izdevumu kopapjoma un katrai ministrijai un citai centrālajai valsts iestādei paredzētā izdevumu kopējā apjoma noteikšanas kārtība vidējam termiņam”  (turpmāk – MKN Nr.15) 9.4.apakšpunktā noteiktajam. Norādām, ka atbilstoši MKN Nr.15 9.4.apakšpunktam Labklājības ministrija (turpmāk  - LM) Finanšu ministrijā tikai iesniegs informāciju LM pamatbudžeta bāzes projekta sagatavošanai n+1, n+2 un n+3 gadam, kuru vienlaikus nepieciešams pamatot ar detalizētiem aprēķiniem. Savukārt, par finansējuma piešķiršanu Ministru kabinets lems valsts pamatbudžeta bāzes projekta apstiprināšanas procesā. Vienlaikus vēršam uzmanību, ka datiem par informācijas un komunikācijas tehnoloģiju projektu uzturēšanas izdevumiem jāpievieno Vides aizsardzības un reģionālās attīstības ministrijas atzinumu. Līdz ar to attiecīgi precizējama anotācijas 1.6.apakšsadaļas punktā “Ilgtspēja”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6.punktā precizēt norādīto finansējumu 2026.gadam, jo atbilstoši Finanšu ministrijas 11.04.2023. vēstules 3.2-11/2-6/1179 “Par Labklājības ministrijas pamatbudžeta un valsts speciālā budžeta bāzes izdevumiem 2024.-2026.gadam” pielikumā “2024.,  2025. un  2026. gada valsts pamatbudžeta bāze” norādītajam budžeta apakšprogrammā 63.08.00 “Eiropas Sociālā fonda Plus (ESF+) projektu un pasākumu īstenošana (2021-2027)” projekta “Profesionālā pilnveide bērnu tiesību jautājumos un bērnu likumisko pārstāvju atbildības stiprināšana” īstenošanai 2026.gadam plānots finansējums 377 277 </w:t>
            </w:r>
            <w:r w:rsidR="00000000" w:rsidRPr="00000000" w:rsidDel="00000000">
              <w:rPr>
                <w:i w:val="1"/>
                <w:rtl w:val="0"/>
              </w:rPr>
              <w:t xml:space="preserve">euro  </w:t>
            </w:r>
            <w:r w:rsidR="00000000" w:rsidRPr="00000000" w:rsidDel="00000000">
              <w:rPr>
                <w:rtl w:val="0"/>
              </w:rPr>
              <w:t xml:space="preserve">apmērā, nevis  377 227 </w:t>
            </w:r>
            <w:r w:rsidR="00000000" w:rsidRPr="00000000" w:rsidDel="00000000">
              <w:rPr>
                <w:i w:val="1"/>
                <w:rtl w:val="0"/>
              </w:rPr>
              <w:t xml:space="preserve">euro</w:t>
            </w:r>
            <w:r w:rsidR="00000000" w:rsidRPr="00000000" w:rsidDel="00000000">
              <w:rPr>
                <w:rtl w:val="0"/>
              </w:rPr>
              <w:t xml:space="preserve"> apmērā, attiecīgi precizējot norādīto ESF Plus finansējumu un valsts budžeta finansējumu. Vienlaikus precizējams finansējums pa gadiem atbilstoši noteikumu projekta plānotajam finansējuma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2023. gadam un budžeta ietvaru 2023., 2024. un 2025. gadam” ir stājies spēkā š.g. 9.martā, precizējama anotācijas 3.sadaļas 6.punktā sniegtā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tabulas 1., 2., 3. un 5.punkta, kā arī 1.1., 2.1. un 3.1.apakšpunkta 8.aili, ņemot vērā, ka atbilstoši Valsts kancelejas izstrādātājām vadlīnijām tiesību akta projekta sākotnējās ietekmes novērtēšanai un novērtējuma ziņojuma sagatavošanai vienotājā tiesību aktu izstrādes un saskaņošanas portālā minētajā ailē tiek norādītas izmaiņas attiecībā pret 6.ailē norādīto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tabulas 1., 2., 3. un 5.punkta, kā arī 1.1., 2.1. un 3.1.apakšpunkta 5. un 7.ailē norādīto finansējumu pārcelt uz minēto punktu un apakšpunktu 4. un 6.aili. Vienlaikus nepieciešams aizpildīt 5.1.apakšpunkta 4., 6. un 8.aili.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projekta iesniedzējam un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vārdiem "finansējuma saņēmējam" , ņemot vērā, ka projektā ir ietvertas prasības uz finansējuma saņēmēju (Sk. noteikumu projekta 14. un 15.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kompensācija pašvaldībai par šo noteikumu 16.4. apakšpunktā minētās supervīzijas nodrošināšanu saskaņā ar atbildīgās iestādes izstrādāto un ar vadošo iestādi saskaņoto vienas vienības izmaksu standarta likmes aprēķina un piemērošanas metodiku supervīzijai, ko kompensē 70 procentu apmērā no minētajā metodikā noteiktās vienas vienības izmaksu standarta likmes;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"[..]saskaņā ar atbildīgās iestādes apstiprināto vienas vienības izmaksu standarta likmes aprēķina un piemērošanas metodiku supervīzijai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18.3.2.1. iekšzemes komandējumu un darba braucienu izmaksas šo noteikumu 16.1., 16.2., 16.5. un 16.7. apakšpunktā minētās atbalstāmās darbības īstenošanai. Iekšzemes komandējumu un darba braucienu izmaksām piemēro vadošās iestādes metodikas par vienas vienības izmaksu standarta likmes aprēķinu un piemērošanu 1 km izmaksām un iekšzemes komandējumu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pilnos metodiku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Vienas vienības izmaksu standarta likmes aprēķina un piemērošanas metodika iekšzemes komandējumu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Krisone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ēdināšanu, telpu nodrošināšanu, pasniedzēju piesaisti, tehnisko nodrošinājumu, kancelejas preču iegādi un šo noteikumu 14. punktā minētā sadarbības partnera mācību pārvaldības sistēmas (turpmāk – mācību pārvaldības sistēma) pilnveidi un uzturēšanu var paredzēt šo noteikumu 16.1. apakšpunktā minētās atbalstāmās darbības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kopumā plānots apmācīt 5988 personas, paredzot vairākas ar mācību nodrošināšanu saistītas izmaksas, lūdzam tomēr izvērtēt iespēju Valsts administrācijas skolas rīkoto mācību izmaksām piemērot vienas vienības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horizontālā principa “Vienlīdzība, iekļaušana, nediskriminācija un pamattiesību ievērošana” darbību īstenošanu, tai skaitā zīmju valodas tulka, vieglās valodas tulkošanas, reāllaika transkripcijas, subtitru nodrošināšanu un bērnu uzraudzības pakalpojuma nodrošināšanu šo noteikumu 16.5. apakšpunktā minēto pasākumu dalībniekiem var paredzēt šo noteikumu 16. punktā minēto atbalstāmo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horizontālā principa "Vienlīdzība, iekļaušana, nediskriminācija un pamattiesību ievērošana” darbību īstenošana ir attiecināma uz visām MK noteikumu projekta 16. punktā minētajām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šo noteikumu 16.1. apakšpunktā minēto atbalstāmo darbību īstenošanu pārvalda Labklājības ministrijas izveidota Bērnu lietu sadarbības padome (turpmāk – padome). Padomes sastāvā ir finansējuma saņēmēja, Labklājības ministrijas, citu nozaru ministriju, Latvijas Pašvaldību savienības un citu biedrību un nodibinājumu pārstāvji. Atbildīgās iestādes un vadošās iestādes pārstāvji padomes darbībā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Vadošās iestādes pārstāvjus no iespējamo novērotāju saraksta Labklājības ministrijas izveidotajā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16.4. apakšpunktā minētās atbalstāmās darbības īstenošanai finansējuma saņēmējs kompensē pašvaldībai izmaksas par ne vairāk kā 10 supervīzijas sesijām gadā bāriņtiesas amatpersonām, ja tās ir sniegtas: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26.punktu, norādot, ka izmaksas pašvaldībai tiek kompensētas par ne vairāk kā 10 supervīzijas sesijām gadā </w:t>
            </w:r>
            <w:r w:rsidR="00000000" w:rsidRPr="00000000" w:rsidDel="00000000">
              <w:rPr>
                <w:u w:val="single"/>
                <w:rtl w:val="0"/>
              </w:rPr>
              <w:t xml:space="preserve">vienai bāriņtiesas amatpersonai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16.4. apakšpunktā minētās atbalstāmās darbības īstenošanai finansējuma saņēmējs kompensē pašvaldībai izmaksas par ne vairāk kā 10 supervīzijas sesijām gadā bāriņtiesas amatpersonām, ja tās ir sniegtas: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 kādiem līdzekļiem finansējuma saņēmējs kompensēs pašvaldībai noteikumu projekta 26.punktā minētās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retāk kā reizi gadā izlases veidā pārbauda šo noteikumu 16.4. apakšpunktā minētās supervīzijas un ar tām saistītos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30.3. apakšpunkta redakciju, nosakot, ka pārbaudes tiek veiktas </w:t>
            </w:r>
            <w:r w:rsidR="00000000" w:rsidRPr="00000000" w:rsidDel="00000000">
              <w:rPr>
                <w:u w:val="single"/>
                <w:rtl w:val="0"/>
              </w:rPr>
              <w:t xml:space="preserve">ne retāk kā reizi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redakcionāli precizēt, ka netiešās izmaksas nevis nepārsniedz septiņus procentus, bet </w:t>
            </w:r>
            <w:r w:rsidR="00000000" w:rsidRPr="00000000" w:rsidDel="00000000">
              <w:rPr>
                <w:b w:val="1"/>
                <w:rtl w:val="0"/>
              </w:rPr>
              <w:t xml:space="preserve">ir </w:t>
            </w:r>
            <w:r w:rsidR="00000000" w:rsidRPr="00000000" w:rsidDel="00000000">
              <w:rPr>
                <w:rtl w:val="0"/>
              </w:rPr>
              <w:t xml:space="preserve">septiņi procenti no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anotācijas apakšsadaļu "Risinājuma apraksts" "Mērķa grupas atbilstība iesaistei mācībās profesionālās kompetences pilnveidei"  ar informāciju par mērķa grupas atbilstības pārbaudes nepieciešamību atbilstoši MK 01.04.2014. noteikumu Nr.173 "</w:t>
            </w:r>
            <w:r w:rsidR="00000000" w:rsidRPr="00000000" w:rsidDel="00000000">
              <w:rPr>
                <w:i w:val="1"/>
                <w:rtl w:val="0"/>
              </w:rPr>
              <w:t xml:space="preserve">Noteikumi par kārtību, kādā apgūst speciālās zināšanas bērnu tiesību aizsardzības jomā, šo zināšanu saturu un apjomu</w:t>
            </w:r>
            <w:r w:rsidR="00000000" w:rsidRPr="00000000" w:rsidDel="00000000">
              <w:rPr>
                <w:rtl w:val="0"/>
              </w:rPr>
              <w:t xml:space="preserve">"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kompensācijas pašvaldībām par nodrošinātajām supervīzijām tiks veiktas atbilstoši Bāriņtiesu likumā noteiktajam deleģējumam, tomēr ņemot vērā, ka Bāriņtiesu likuma grozījumi ir plānošanas stadijā, lūdzam papildināt anotāciju ar skaidrojumu par supervīziju kompensēšanu līdz iepriekš minētā likuma grozījumu spēkā stāšanās brīdim (ja to sniegšana tiks uzsākta līdz grozījumiem Bāriņtiesu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apakašsadaļas "Risinājuma apraksts" 1. punkta atkāpē "Sadarbības partneris - VAS...", ar informāciju par mācību nodrošināšanu arī speciālistiem, kas minēti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 punktā  - ārpusģimenes aprūpes iestāžu vadītāji, sociālie darbinieki un sociālie rehabilitētāji.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minētajam, bērna atbalsta speciālisti tiks nodarbināti VBTAI un to funkcijas aprobācija tiks nodrošināta 4.3.6.5. pasākuma “</w:t>
            </w:r>
            <w:r w:rsidR="00000000" w:rsidRPr="00000000" w:rsidDel="00000000">
              <w:rPr>
                <w:i w:val="1"/>
                <w:rtl w:val="0"/>
              </w:rPr>
              <w:t xml:space="preserve">Atbalsta pasākumi bērniem ar uzvedības un atkarību problēmām un to ģimenēm</w:t>
            </w:r>
            <w:r w:rsidR="00000000" w:rsidRPr="00000000" w:rsidDel="00000000">
              <w:rPr>
                <w:rtl w:val="0"/>
              </w:rPr>
              <w:t xml:space="preserve">” ietvaros. Lūdzam papildināt anotāciju ar informāciju, vai 4.3.6.1. pasākuma ietvaros varēs piedalīties tikai tie speciālisti, kas tiks nodarbināti VBTAI un aprobēti 4.3.6.5.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1.6.apakšsadaļas punktā “Ilgtspēja” aizstāt vārdus “gadskārtējā valsts budžeta likumprojekta un vidēja termiņa budžeta ietvara likumprojekta” ar vārdiem “likumprojekta par valsts budžetu kārtējam gadam un vidēja termiņa budžeta ietvaru”, ņemot vērā, ka 2022.gada 3.novembrī stājās spēkā grozījumi Likumā par budžeta un finanšu vadību, paredzot, ka turpmāk vidēja termiņa budžeta ietvara likumprojektu un gadskārtējā valsts budžeta likumprojektu sagatavo kā vienu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22.06.2023.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22.06.2023.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Atzinumi_23-TA-167.docx</dc:title>
</cp:coreProperties>
</file>

<file path=docProps/custom.xml><?xml version="1.0" encoding="utf-8"?>
<Properties xmlns="http://schemas.openxmlformats.org/officeDocument/2006/custom-properties" xmlns:vt="http://schemas.openxmlformats.org/officeDocument/2006/docPropsVTypes"/>
</file>