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par veiktajiem krāpšanas apkarošanas un Eiropas Savienības finanšu interešu aizsardzības pasākumiem 2023. gadā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21.06.2024.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21.06.2024.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