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FM 06.07.26. atzinumā izteikto 2.iebildumu un uzskatām, ka anotācijas 3.sadaļā norādītais nepieciešamais papildu finansējums 525 855 </w:t>
            </w:r>
            <w:r w:rsidR="00000000" w:rsidRPr="00000000" w:rsidDel="00000000">
              <w:rPr>
                <w:i w:val="1"/>
                <w:rtl w:val="0"/>
              </w:rPr>
              <w:t xml:space="preserve">euro</w:t>
            </w:r>
            <w:r w:rsidR="00000000" w:rsidRPr="00000000" w:rsidDel="00000000">
              <w:rPr>
                <w:rtl w:val="0"/>
              </w:rPr>
              <w:t xml:space="preserve"> apmērā 2027.gadam un 82 587 </w:t>
            </w:r>
            <w:r w:rsidR="00000000" w:rsidRPr="00000000" w:rsidDel="00000000">
              <w:rPr>
                <w:i w:val="1"/>
                <w:rtl w:val="0"/>
              </w:rPr>
              <w:t xml:space="preserve">euro</w:t>
            </w:r>
            <w:r w:rsidR="00000000" w:rsidRPr="00000000" w:rsidDel="00000000">
              <w:rPr>
                <w:rtl w:val="0"/>
              </w:rPr>
              <w:t xml:space="preserve"> apmērā 2028.gadam un turpmāk ik gadu likumprojektā ietverto normu īstenošanai Valsts sociālās apdrošināšanas aģentūrai jānodrošina tai piešķirto valsts budžeta līdzekļu ietvaros, pārskatot un optimizējot esošos līdzekļus vai piedāvājot papildu izdevumus kompensējošos pasākumus, ņemot vērā MK 28.10.2025. rīkojuma Nr.707 (prot.Nr.45 34.§) 3.punktā noteikto, ka konceptuālā ziņojuma “Par valsts sociālās apdrošināšanas obligāto iemaksu termiņa pagarinājumu un tā ietekmi uz personas vecuma pensijas apmēru” 4.risinājuma īstenošana jānodrošina Labklājības ministrijai (Valsts sociālās apdrošināšanas aģentūrai) un Finanšu ministrijai (Valsts ieņēmumu dienestam) piešķirto valsts budžeta līdzekļu ietvaros, kā arī to, ka, balstoties uz aktuālākajām makroekonomiskajām un fiskālajām prognozēm, novērtētā indikatīvā 2027.–2030. gada budžeta ietvara sagatavošanai pieejamā fiskālā telpa ir negatīva visā vidējā termiņā 2027.gadā -28,0 milj. </w:t>
            </w:r>
            <w:r w:rsidR="00000000" w:rsidRPr="00000000" w:rsidDel="00000000">
              <w:rPr>
                <w:i w:val="1"/>
                <w:rtl w:val="0"/>
              </w:rPr>
              <w:t xml:space="preserve">euro</w:t>
            </w:r>
            <w:r w:rsidR="00000000" w:rsidRPr="00000000" w:rsidDel="00000000">
              <w:rPr>
                <w:rtl w:val="0"/>
              </w:rPr>
              <w:t xml:space="preserve">, 2028.gadā -279,1 milj. </w:t>
            </w:r>
            <w:r w:rsidR="00000000" w:rsidRPr="00000000" w:rsidDel="00000000">
              <w:rPr>
                <w:i w:val="1"/>
                <w:rtl w:val="0"/>
              </w:rPr>
              <w:t xml:space="preserve">euro</w:t>
            </w:r>
            <w:r w:rsidR="00000000" w:rsidRPr="00000000" w:rsidDel="00000000">
              <w:rPr>
                <w:rtl w:val="0"/>
              </w:rPr>
              <w:t xml:space="preserve">, 2029.gadā -237,8 milj. </w:t>
            </w:r>
            <w:r w:rsidR="00000000" w:rsidRPr="00000000" w:rsidDel="00000000">
              <w:rPr>
                <w:i w:val="1"/>
                <w:rtl w:val="0"/>
              </w:rPr>
              <w:t xml:space="preserve">euro</w:t>
            </w:r>
            <w:r w:rsidR="00000000" w:rsidRPr="00000000" w:rsidDel="00000000">
              <w:rPr>
                <w:rtl w:val="0"/>
              </w:rPr>
              <w:t xml:space="preserve">, 2030.gadā -936,2 milj. </w:t>
            </w:r>
            <w:r w:rsidR="00000000" w:rsidRPr="00000000" w:rsidDel="00000000">
              <w:rPr>
                <w:i w:val="1"/>
                <w:rtl w:val="0"/>
              </w:rPr>
              <w:t xml:space="preserve">euro</w:t>
            </w:r>
            <w:r w:rsidR="00000000" w:rsidRPr="00000000" w:rsidDel="00000000">
              <w:rPr>
                <w:rtl w:val="0"/>
              </w:rPr>
              <w:t xml:space="preserve"> un līdz ar to papildu finansējums turpmākajiem gadiem bez kompensējošiem pasākumiem, kas, lai nodrošinātu atbilstību fiskālajiem nosacījumiem, primāri segs negatīvo fiskālo telpu, nebūs pieejams. Līdz ar to nepieciešams attiecīgi precizēt anotācijas 3.sadaļā sniegto informāciju, tai skaitā norādot papildu izdevumus kompensējošos pasākumus, kā arī norādot, ka nepieciešamais finansējums likumprojektā ietverto normu īstenošanai Valsts sociālās apdrošināšanas aģentūra nodrošinās tai piešķirto valsts budžeta līdzekļu ietvaros, pārskatot un optimizējot esošos līdzekļus. Ņemot vērā minēto, likumprojekta tālāka virzība ir atbalstāma tikai tad, ja Labklājības ministrija (Valsts sociālās apdrošināšanas aģentūra) nodrošinās tā īstenošanai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26-TA-656</w:t>
    </w:r>
    <w:r>
      <w:br/>
    </w:r>
    <w:r w:rsidR="00000000" w:rsidRPr="00000000" w:rsidDel="00000000">
      <w:rPr>
        <w:rtl w:val="0"/>
      </w:rPr>
      <w:t xml:space="preserve">Izdrukāts 04.08.2026.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26-TA-656</w:t>
    </w:r>
    <w:r>
      <w:br/>
    </w:r>
    <w:r w:rsidR="00000000" w:rsidRPr="00000000" w:rsidDel="00000000">
      <w:rPr>
        <w:rtl w:val="0"/>
      </w:rPr>
      <w:t xml:space="preserve">Izdrukāts 04.08.2026.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Atzinumi_26-TA-656.docx</dc:title>
</cp:coreProperties>
</file>

<file path=docProps/custom.xml><?xml version="1.0" encoding="utf-8"?>
<Properties xmlns="http://schemas.openxmlformats.org/officeDocument/2006/custom-properties" xmlns:vt="http://schemas.openxmlformats.org/officeDocument/2006/docPropsVTypes"/>
</file>